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240" w:line="560" w:lineRule="exact"/>
        <w:jc w:val="center"/>
        <w:outlineLvl w:val="0"/>
        <w:rPr>
          <w:rFonts w:ascii="Times New Roman" w:hAnsi="Times New Roman" w:eastAsia="华文中宋" w:cs="Arial"/>
          <w:b/>
          <w:sz w:val="44"/>
          <w:szCs w:val="44"/>
        </w:rPr>
      </w:pPr>
      <w:r>
        <w:rPr>
          <w:rFonts w:hint="eastAsia" w:ascii="Times New Roman" w:hAnsi="Times New Roman" w:eastAsia="华文中宋" w:cs="Arial"/>
          <w:b/>
          <w:sz w:val="44"/>
          <w:szCs w:val="44"/>
        </w:rPr>
        <w:t>《电子凭证会计数据标准——全面数字化的电子发票（航空运输电子客票行程单）（试行版）》指南</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为加快航空运输电子客票行程单应用和推广实施工作，助力国家数字经济发展和会计信息化建设，提升财政监管和税收征管效能，财政部遵循《可扩展商业报告语言（XBRL）技术规范》（GB/T 25500-2010）系列国家标准，研究起草了《电子凭证会计数据标准——全面数字化的电子发票（航空运输电子客票行程单）（试行版）》（以下简称《航空运输电子客票行程单标准》）。《航空运输电子客票行程单</w:t>
      </w:r>
      <w:r>
        <w:rPr>
          <w:rFonts w:hint="eastAsia" w:ascii="Times New Roman" w:hAnsi="Times New Roman" w:eastAsia="仿宋_GB2312"/>
          <w:sz w:val="28"/>
          <w:szCs w:val="28"/>
          <w:lang w:eastAsia="zh-CN"/>
        </w:rPr>
        <w:t>标准</w:t>
      </w:r>
      <w:r>
        <w:rPr>
          <w:rFonts w:hint="eastAsia" w:ascii="Times New Roman" w:hAnsi="Times New Roman" w:eastAsia="仿宋_GB2312"/>
          <w:sz w:val="28"/>
          <w:szCs w:val="28"/>
        </w:rPr>
        <w:t>》以现行航空运输客票行程单为基础，反映了航空运输客票行程单承载的全部会计信息，以便企业在信息化条件下对相关业务进行会计处理并完成归档工作。同时，《航空运输电子客票行程单</w:t>
      </w:r>
      <w:r>
        <w:rPr>
          <w:rFonts w:hint="eastAsia" w:ascii="Times New Roman" w:hAnsi="Times New Roman" w:eastAsia="仿宋_GB2312"/>
          <w:sz w:val="28"/>
          <w:szCs w:val="28"/>
          <w:lang w:eastAsia="zh-CN"/>
        </w:rPr>
        <w:t>标准</w:t>
      </w:r>
      <w:r>
        <w:rPr>
          <w:rFonts w:hint="eastAsia" w:ascii="Times New Roman" w:hAnsi="Times New Roman" w:eastAsia="仿宋_GB2312"/>
          <w:sz w:val="28"/>
          <w:szCs w:val="28"/>
        </w:rPr>
        <w:t>》对电子行程单的开具、报销、入账、归档过程中产生的相关会计信息和行程单状态信息进行了标准规范，能够防止电子行程单在企业、单位端重复入账。为方便阅读理解，我们起草了《电子凭证会计数据标准——全面数字化的电子发票（航空运输电子客票行程单）（试行版）》元素清单和本指南。</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本指南作为《航空运输电子客票行程单</w:t>
      </w:r>
      <w:r>
        <w:rPr>
          <w:rFonts w:hint="eastAsia" w:ascii="Times New Roman" w:hAnsi="Times New Roman" w:eastAsia="仿宋_GB2312"/>
          <w:sz w:val="28"/>
          <w:szCs w:val="28"/>
          <w:lang w:eastAsia="zh-CN"/>
        </w:rPr>
        <w:t>标准</w:t>
      </w:r>
      <w:r>
        <w:rPr>
          <w:rFonts w:hint="eastAsia" w:ascii="Times New Roman" w:hAnsi="Times New Roman" w:eastAsia="仿宋_GB2312"/>
          <w:sz w:val="28"/>
          <w:szCs w:val="28"/>
        </w:rPr>
        <w:t>》使用和实例文档解析的说明文件，应与元素清单一并阅读，旨在帮助软件开发商和电子行程单的接收单位了解《航空运输电子客票行程单</w:t>
      </w:r>
      <w:r>
        <w:rPr>
          <w:rFonts w:hint="eastAsia" w:ascii="Times New Roman" w:hAnsi="Times New Roman" w:eastAsia="仿宋_GB2312"/>
          <w:sz w:val="28"/>
          <w:szCs w:val="28"/>
          <w:lang w:eastAsia="zh-CN"/>
        </w:rPr>
        <w:t>标准</w:t>
      </w:r>
      <w:r>
        <w:rPr>
          <w:rFonts w:hint="eastAsia" w:ascii="Times New Roman" w:hAnsi="Times New Roman" w:eastAsia="仿宋_GB2312"/>
          <w:sz w:val="28"/>
          <w:szCs w:val="28"/>
        </w:rPr>
        <w:t>》的架构、内容以及实例文档的要素和解析方式。</w:t>
      </w:r>
    </w:p>
    <w:p>
      <w:pPr>
        <w:pStyle w:val="12"/>
        <w:numPr>
          <w:ilvl w:val="0"/>
          <w:numId w:val="1"/>
        </w:numPr>
        <w:wordWrap/>
        <w:spacing w:line="560" w:lineRule="exact"/>
        <w:ind w:firstLineChars="0"/>
        <w:outlineLvl w:val="0"/>
      </w:pPr>
      <w:r>
        <w:rPr>
          <w:rFonts w:hint="eastAsia"/>
        </w:rPr>
        <w:t>概述</w:t>
      </w:r>
    </w:p>
    <w:p>
      <w:pPr>
        <w:pStyle w:val="14"/>
        <w:numPr>
          <w:ilvl w:val="0"/>
          <w:numId w:val="2"/>
        </w:numPr>
        <w:wordWrap/>
        <w:spacing w:line="560" w:lineRule="exact"/>
        <w:ind w:firstLine="560"/>
        <w:outlineLvl w:val="1"/>
        <w:rPr>
          <w:rFonts w:ascii="Times New Roman" w:hAnsi="Times New Roman"/>
        </w:rPr>
      </w:pPr>
      <w:r>
        <w:rPr>
          <w:rFonts w:hint="eastAsia" w:ascii="Times New Roman" w:hAnsi="Times New Roman"/>
          <w:lang w:eastAsia="zh-CN"/>
        </w:rPr>
        <w:t>数电票（航空运输电子客票行程单）</w:t>
      </w:r>
      <w:r>
        <w:rPr>
          <w:rFonts w:hint="eastAsia" w:ascii="Times New Roman" w:hAnsi="Times New Roman"/>
        </w:rPr>
        <w:t>介绍</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lang w:eastAsia="zh-CN"/>
        </w:rPr>
        <w:t>数电票（航空运输电子客票行程单）</w:t>
      </w:r>
      <w:r>
        <w:rPr>
          <w:rFonts w:hint="eastAsia" w:ascii="Times New Roman" w:hAnsi="Times New Roman" w:eastAsia="仿宋_GB2312"/>
          <w:sz w:val="28"/>
          <w:szCs w:val="28"/>
        </w:rPr>
        <w:t>是旅客购买电子客票的付款凭证或报销凭证，与纸质普通机票具有同等的法律效力。</w:t>
      </w:r>
    </w:p>
    <w:p>
      <w:pPr>
        <w:pStyle w:val="14"/>
        <w:numPr>
          <w:ilvl w:val="0"/>
          <w:numId w:val="2"/>
        </w:numPr>
        <w:wordWrap/>
        <w:spacing w:line="560" w:lineRule="exact"/>
        <w:ind w:firstLine="560"/>
        <w:outlineLvl w:val="1"/>
        <w:rPr>
          <w:rFonts w:ascii="Times New Roman" w:hAnsi="Times New Roman"/>
        </w:rPr>
      </w:pPr>
      <w:r>
        <w:rPr>
          <w:rFonts w:hint="eastAsia"/>
        </w:rPr>
        <w:t>开具端和接收端工作简介</w:t>
      </w:r>
    </w:p>
    <w:p>
      <w:pPr>
        <w:spacing w:after="0" w:line="560" w:lineRule="exact"/>
        <w:ind w:firstLine="560" w:firstLineChars="200"/>
        <w:jc w:val="both"/>
      </w:pPr>
      <w:r>
        <w:rPr>
          <w:rFonts w:hint="eastAsia" w:ascii="Times New Roman" w:hAnsi="Times New Roman" w:eastAsia="仿宋_GB2312"/>
          <w:sz w:val="28"/>
          <w:szCs w:val="28"/>
        </w:rPr>
        <w:t>飞行完成后，</w:t>
      </w:r>
      <w:r>
        <w:rPr>
          <w:rFonts w:hint="eastAsia" w:ascii="Times New Roman" w:hAnsi="Times New Roman" w:eastAsia="仿宋_GB2312"/>
          <w:sz w:val="28"/>
          <w:szCs w:val="28"/>
          <w:lang w:eastAsia="zh-CN"/>
        </w:rPr>
        <w:t>数电票（航空运输电子客票行程单）</w:t>
      </w:r>
      <w:r>
        <w:rPr>
          <w:rFonts w:hint="eastAsia" w:ascii="Times New Roman" w:hAnsi="Times New Roman" w:eastAsia="仿宋_GB2312"/>
          <w:sz w:val="28"/>
          <w:szCs w:val="28"/>
        </w:rPr>
        <w:t>开具方将电子行程单结构化数据通过X</w:t>
      </w:r>
      <w:r>
        <w:rPr>
          <w:rFonts w:ascii="Times New Roman" w:hAnsi="Times New Roman" w:eastAsia="仿宋_GB2312"/>
          <w:sz w:val="28"/>
          <w:szCs w:val="28"/>
        </w:rPr>
        <w:t>BRL</w:t>
      </w:r>
      <w:r>
        <w:rPr>
          <w:rFonts w:hint="eastAsia" w:ascii="Times New Roman" w:hAnsi="Times New Roman" w:eastAsia="仿宋_GB2312"/>
          <w:sz w:val="28"/>
          <w:szCs w:val="28"/>
        </w:rPr>
        <w:t>工具包生成实例文档并封装到OFD版式文件中，形成电子凭证航空运输客票行程单。接收方获取电子凭证文件后，通过X</w:t>
      </w:r>
      <w:r>
        <w:rPr>
          <w:rFonts w:ascii="Times New Roman" w:hAnsi="Times New Roman" w:eastAsia="仿宋_GB2312"/>
          <w:sz w:val="28"/>
          <w:szCs w:val="28"/>
        </w:rPr>
        <w:t>BRL</w:t>
      </w:r>
      <w:r>
        <w:rPr>
          <w:rFonts w:hint="eastAsia" w:ascii="Times New Roman" w:hAnsi="Times New Roman" w:eastAsia="仿宋_GB2312"/>
          <w:sz w:val="28"/>
          <w:szCs w:val="28"/>
        </w:rPr>
        <w:t>工具包解析行程单底层的结构化数据并同步标记行程单状态。企业、单位在使用电子凭证报销、入账时，财务共享系统将即时回传行程单状态信息和相关会计信息，生成包含有行程单状态信息、会计主体信息和基础会计信息的XBRL格式的实例文档数据进行归档备查。</w:t>
      </w:r>
    </w:p>
    <w:p>
      <w:pPr>
        <w:pStyle w:val="12"/>
        <w:numPr>
          <w:ilvl w:val="0"/>
          <w:numId w:val="1"/>
        </w:numPr>
        <w:wordWrap/>
        <w:spacing w:line="560" w:lineRule="exact"/>
        <w:ind w:firstLineChars="0"/>
        <w:outlineLvl w:val="0"/>
      </w:pPr>
      <w:r>
        <w:rPr>
          <w:rFonts w:hint="eastAsia"/>
          <w:lang w:eastAsia="zh-CN"/>
        </w:rPr>
        <w:t>数电票（航空运输电子客票行程单）</w:t>
      </w:r>
      <w:r>
        <w:rPr>
          <w:rFonts w:hint="eastAsia"/>
        </w:rPr>
        <w:t>开具方</w:t>
      </w:r>
    </w:p>
    <w:p>
      <w:pPr>
        <w:pStyle w:val="14"/>
        <w:numPr>
          <w:ilvl w:val="0"/>
          <w:numId w:val="3"/>
        </w:numPr>
        <w:wordWrap/>
        <w:spacing w:line="560" w:lineRule="exact"/>
        <w:ind w:firstLine="560" w:firstLineChars="0"/>
        <w:outlineLvl w:val="1"/>
      </w:pPr>
      <w:r>
        <w:rPr>
          <w:rFonts w:hint="eastAsia"/>
        </w:rPr>
        <w:t>航空运输电子客票行程单</w:t>
      </w:r>
      <w:r>
        <w:rPr>
          <w:rFonts w:hint="eastAsia"/>
          <w:lang w:val="en-GB"/>
        </w:rPr>
        <w:t>开具方示例</w:t>
      </w:r>
      <w:r>
        <w:rPr>
          <w:lang w:val="en-GB"/>
        </w:rPr>
        <w:t>-XBRL</w:t>
      </w:r>
    </w:p>
    <w:p>
      <w:pPr>
        <w:spacing w:after="0" w:line="560" w:lineRule="exact"/>
        <w:ind w:firstLine="560" w:firstLineChars="200"/>
        <w:jc w:val="both"/>
        <w:rPr>
          <w:rFonts w:ascii="Times New Roman" w:hAnsi="Times New Roman" w:eastAsia="仿宋_GB2312"/>
          <w:sz w:val="28"/>
          <w:szCs w:val="28"/>
        </w:rPr>
      </w:pPr>
      <w:r>
        <w:rPr>
          <w:rFonts w:hint="eastAsia" w:ascii="Times New Roman" w:hAnsi="Times New Roman" w:eastAsia="仿宋_GB2312"/>
          <w:sz w:val="28"/>
          <w:szCs w:val="28"/>
        </w:rPr>
        <w:t>航空运输电子客票行程单的电子发票开具方示例：</w:t>
      </w:r>
    </w:p>
    <w:tbl>
      <w:tblPr>
        <w:tblStyle w:val="9"/>
        <w:tblW w:w="963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Layout w:type="fixed"/>
        <w:tblCellMar>
          <w:top w:w="0" w:type="dxa"/>
          <w:left w:w="108" w:type="dxa"/>
          <w:bottom w:w="0" w:type="dxa"/>
          <w:right w:w="108" w:type="dxa"/>
        </w:tblCellMar>
      </w:tblPr>
      <w:tblGrid>
        <w:gridCol w:w="96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CellMar>
            <w:top w:w="0" w:type="dxa"/>
            <w:left w:w="108" w:type="dxa"/>
            <w:bottom w:w="0" w:type="dxa"/>
            <w:right w:w="108" w:type="dxa"/>
          </w:tblCellMar>
        </w:tblPrEx>
        <w:tc>
          <w:tcPr>
            <w:tcW w:w="9639" w:type="dxa"/>
            <w:shd w:val="clear" w:color="auto" w:fill="F1F1F1" w:themeFill="background1" w:themeFillShade="F2"/>
          </w:tcPr>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&lt;xbrli:xbrl xmlns:xsi="http://www.w3.org/2001/XMLSchema-instance" xsi:schemaLocation="http://xbrl.org/2006/xbrldi http://www.xbrl.org/2006/xbrldi-2006.xsd" xmlns:link="http://www.xbrl.org/2003/linkbase" xmlns:iso4217="http://www.xbrl.org/2003/iso4217" xmlns:atr="http://xbrl.mof.gov.cn/taxonomy/2023-05-15/atr" xmlns:xlink="http://www.w3.org/1999/xlink" xmlns:xbrli="http://www.xbrl.org/2003/instance"&gt;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&lt;link:schemaRef xlink:type="simple" xlink:href="atr_issuer_entry_point_2023-05-15.xsd"/&gt;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&lt;xbrli:context id="c1"&gt;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&lt;xbrli:entity&gt;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&lt;xbrli:identifier scheme="http://xbrl.mof.gov.cn"&gt;中国南方航空股份有限公司&lt;/xbrli:identifier&gt;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&lt;/xbrli:entity&gt;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&lt;xbrli:period&gt;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&lt;xbrli:instant&gt;2021-07-28&lt;/xbrli:instant&gt;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&lt;/xbrli:period&gt;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&lt;/xbrli:context&gt;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&lt;xbrli:unit id="u1"&gt;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&lt;xbrli:measure&gt;iso4217:CNY&lt;/xbrli:measure&gt;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&lt;/xbrli:unit&gt;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&lt;atr:PassengerName contextRef="c1"&gt;王某某&lt;/atr:PassengerName&gt;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&lt;atr:ValidIdNumber contextRef="c1"&gt;384932********1234&lt;/atr:ValidIdNumber&gt;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&lt;atr:Endorsement contextRef="c1"&gt;不得签转&lt;/atr:Endorsement&gt;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&lt;atr:NumberOfGpOrder contextRef="c1"&gt;GP112045678767&lt;/atr:NumberOfGpOrder&gt;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&lt;atr:DetailInformationOfAirTicketTuple&gt;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&lt;atr:DepartureStation contextRef="c1"&gt;合肥 HFE&lt;/atr:DepartureStation&gt;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&lt;atr:DestinationStation contextRef="c1"&gt;广州 CAN&lt;/atr:DestinationStation&gt;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&lt;atr:FlightSegment contextRef="c1"&gt;1&lt;/atr:FlightSegment&gt;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&lt;atr:Carrier contextRef="c1"&gt;南航&lt;/atr:Carrier&gt;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&lt;atr:Flight contextRef="c1"&gt;CZ8866&lt;/atr:Flight&gt;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&lt;atr:Class contextRef="c1"&gt;V&lt;/atr:Class&gt;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&lt;atr:CarrierDate contextRef="c1"&gt;2021-07-27&lt;/atr:CarrierDate&gt;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&lt;atr:DepartureTime contextRef="c1"&gt;18:30&lt;/atr:DepartureTime&gt;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&lt;atr:FareBasis contextRef="c1"&gt;Y50&lt;/atr:FareBasis&gt;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&lt;atr:EffectiveDate xsi:nil="true" contextRef="c1"/&gt;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&lt;atr:ExpirationDate xsi:nil="true" contextRef="c1"/&gt;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&lt;atr:FreeBaggageAllowance contextRef="c1"&gt;20K&lt;/atr:FreeBaggageAllowance&gt;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&lt;/atr:DetailInformationOfAirTicketTuple&gt;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&lt;atr:DetailInformationOfAirTicketTuple&gt;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&lt;atr:DepartureStation contextRef="c1"&gt;广州 CAN&lt;/atr:DepartureStation&gt;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&lt;atr:DestinationStation contextRef="c1"&gt;北海 BHY&lt;/atr:DestinationStation&gt;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&lt;atr:FlightSegment contextRef="c1"&gt;2&lt;/atr:FlightSegment&gt;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&lt;atr:Carrier contextRef="c1"&gt;南航&lt;/atr:Carrier&gt;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&lt;atr:Flight contextRef="c1"&gt;CZ8866&lt;/atr:Flight&gt;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&lt;atr:Class contextRef="c1"&gt;V&lt;/atr:Class&gt;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&lt;atr:CarrierDate contextRef="c1"&gt;2021-07-27&lt;/atr:CarrierDate&gt;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&lt;atr:DepartureTime contextRef="c1"&gt;22:50&lt;/atr:DepartureTime&gt;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&lt;atr:FareBasis contextRef="c1"&gt;Y50&lt;/atr:FareBasis&gt;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&lt;atr:EffectiveDate xsi:nil="true" contextRef="c1"/&gt;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&lt;atr:ExpirationDate xsi:nil="true" contextRef="c1"/&gt;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&lt;atr:FreeBaggageAllowance contextRef="c1"&gt;20K&lt;/atr:FreeBaggageAllowance&gt;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&lt;/atr:DetailInformationOfAirTicketTuple&gt;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&lt;atr:Fare decimals="2" contextRef="c1" unitRef="u1"&gt;477.06&lt;/atr:Fare&gt;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&lt;atr:FuelSurcharge decimals="2" contextRef="c1" unitRef="u1"&gt;45.87&lt;/atr:FuelSurcharge&gt;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&lt;atr:VatRate decimals="2" contextRef="c1" unitRef="u1"&gt;0.09&lt;/atr:VatRate&gt;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&lt;atr:VatTaxAmount decimals="2" contextRef="c1" unitRef="u1"&gt;47.07&lt;/atr:VatTaxAmount&gt;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&lt;atr:CivilAviationDevelopmentFund decimals="2" contextRef="c1" unitRef="u1"&gt;50.00&lt;/atr:CivilAviationDevelopmentFund&gt;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&lt;atr:OtherTaxes decimals="2" contextRef="c1" unitRef="u1"&gt;0.00&lt;/atr:OtherTaxes&gt;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&lt;atr:TotalAmount decimals="2" contextRef="c1" unitRef="u1"&gt;620.00&lt;/atr:TotalAmount&gt;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&lt;atr:ETicketNumber contextRef="c1"&gt;7841234567890&lt;/atr:ETicketNumber&gt;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&lt;atr:VerificationCode contextRef="c1"&gt;7890&lt;/atr:VerificationCode&gt;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&lt;atr:PromptInformation contextRef="c1"&gt;XXXX&lt;/atr:PromptInformation&gt;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&lt;atr:Insurance contextRef="c1"&gt;XXX&lt;/atr:Insurance&gt;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&lt;atr:AgentCode contextRef="c1"&gt;CAN001/08682256&lt;/atr:AgentCode&gt;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&lt;atr:IssueParty contextRef="c1"&gt;中国南方航空股份有限公司&lt;/atr:IssueParty&gt;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&lt;atr:IssueDate contextRef="c1"&gt;2021-07-28&lt;/atr:IssueDate&gt;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&lt;atr:IssuingStatus contextRef="c1"&gt;正常&lt;/atr:IssuingStatus&gt;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&lt;atr:MarkingOfDomesticOrInternational contextRef="c1"&gt;国内&lt;/atr:MarkingOfDomesticOrInternational&gt;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&lt;atr:NameOfPurchaser contextRef="c1"&gt;北京XXX公司&lt;/atr:NameOfPurchaser&gt;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&lt;atr:UnifiedSocialCreditCodeOfPurchaser contextRef="c1"&gt;9111000007311XXXX&lt;/atr:UnifiedSocialCreditCodeOfPurchaser&gt;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&lt;atr:ElectronicInvoiceAirTransportReceiptNumber contextRef="c1"&gt;12345678901234567891&lt;/atr:ElectronicInvoiceAirTransportReceiptNumber&gt;</w:t>
            </w:r>
          </w:p>
          <w:p>
            <w:pPr>
              <w:wordWrap w:val="0"/>
              <w:spacing w:after="0"/>
              <w:ind w:firstLine="480" w:firstLineChars="200"/>
              <w:jc w:val="both"/>
              <w:rPr>
                <w:sz w:val="24"/>
                <w:szCs w:val="24"/>
              </w:rPr>
            </w:pPr>
            <w:r>
              <w:rPr>
                <w:rFonts w:ascii="Times New Roman" w:hAnsi="Times New Roman" w:eastAsia="仿宋_GB2312" w:cs="Times New Roman"/>
                <w:sz w:val="24"/>
                <w:szCs w:val="24"/>
              </w:rPr>
              <w:t>&lt;/xbrli:xbrl&gt;</w:t>
            </w:r>
          </w:p>
        </w:tc>
      </w:tr>
    </w:tbl>
    <w:p>
      <w:pPr>
        <w:pStyle w:val="14"/>
        <w:numPr>
          <w:ilvl w:val="0"/>
          <w:numId w:val="3"/>
        </w:numPr>
        <w:wordWrap/>
        <w:spacing w:line="560" w:lineRule="exact"/>
        <w:ind w:firstLine="560" w:firstLineChars="0"/>
        <w:outlineLvl w:val="1"/>
      </w:pPr>
      <w:r>
        <w:rPr>
          <w:rFonts w:hint="eastAsia"/>
        </w:rPr>
        <w:t>《航空运输电子客票行程单</w:t>
      </w:r>
      <w:r>
        <w:rPr>
          <w:rFonts w:hint="eastAsia"/>
          <w:lang w:eastAsia="zh-CN"/>
        </w:rPr>
        <w:t>标准</w:t>
      </w:r>
      <w:r>
        <w:rPr>
          <w:rFonts w:hint="eastAsia"/>
        </w:rPr>
        <w:t>》开具方内容架构</w:t>
      </w:r>
    </w:p>
    <w:p>
      <w:pPr>
        <w:pStyle w:val="15"/>
        <w:wordWrap/>
        <w:spacing w:after="0" w:line="560" w:lineRule="exact"/>
      </w:pPr>
      <w:r>
        <w:rPr>
          <w:rFonts w:hint="eastAsia"/>
          <w:szCs w:val="28"/>
          <w:lang w:eastAsia="zh-CN"/>
        </w:rPr>
        <w:t>本标准</w:t>
      </w:r>
      <w:r>
        <w:rPr>
          <w:rFonts w:hint="eastAsia"/>
          <w:szCs w:val="28"/>
        </w:rPr>
        <w:t>将</w:t>
      </w:r>
      <w:r>
        <w:rPr>
          <w:rFonts w:hint="eastAsia"/>
          <w:szCs w:val="28"/>
          <w:lang w:eastAsia="zh-CN"/>
        </w:rPr>
        <w:t>数电票（航空运输电子客票行程单）</w:t>
      </w:r>
      <w:r>
        <w:rPr>
          <w:rFonts w:hint="eastAsia"/>
          <w:szCs w:val="28"/>
        </w:rPr>
        <w:t>的部分票面信息以及通过航空运输电子客票行程单进行开具、报销、入账、归档过程中需要的信息进行了XBRL标记，</w:t>
      </w:r>
      <w:r>
        <w:rPr>
          <w:rFonts w:hint="eastAsia"/>
        </w:rPr>
        <w:t>并将信息根据业务流程划分为开具方和接收方两类，表</w:t>
      </w:r>
      <w:r>
        <w:t>1</w:t>
      </w:r>
      <w:r>
        <w:rPr>
          <w:rFonts w:hint="eastAsia"/>
        </w:rPr>
        <w:t>列示了</w:t>
      </w:r>
      <w:r>
        <w:rPr>
          <w:rFonts w:hint="eastAsia"/>
          <w:lang w:eastAsia="zh-CN"/>
        </w:rPr>
        <w:t>标准</w:t>
      </w:r>
      <w:r>
        <w:rPr>
          <w:rFonts w:hint="eastAsia"/>
        </w:rPr>
        <w:t>标记的开具方字段。</w:t>
      </w:r>
    </w:p>
    <w:p>
      <w:pPr>
        <w:pStyle w:val="15"/>
        <w:wordWrap/>
        <w:spacing w:after="0" w:line="560" w:lineRule="exact"/>
        <w:ind w:firstLine="0" w:firstLineChars="0"/>
        <w:jc w:val="center"/>
        <w:rPr>
          <w:b/>
          <w:bCs/>
          <w:sz w:val="24"/>
          <w:szCs w:val="24"/>
        </w:rPr>
      </w:pPr>
      <w:r>
        <w:rPr>
          <w:rFonts w:hint="eastAsia"/>
          <w:b/>
          <w:bCs/>
          <w:sz w:val="24"/>
          <w:szCs w:val="24"/>
        </w:rPr>
        <w:t xml:space="preserve">表 </w:t>
      </w:r>
      <w:r>
        <w:rPr>
          <w:bCs/>
          <w:sz w:val="24"/>
          <w:szCs w:val="24"/>
        </w:rPr>
        <w:fldChar w:fldCharType="begin"/>
      </w:r>
      <w:r>
        <w:rPr>
          <w:bCs/>
          <w:sz w:val="24"/>
          <w:szCs w:val="24"/>
        </w:rPr>
        <w:instrText xml:space="preserve"> </w:instrText>
      </w:r>
      <w:r>
        <w:rPr>
          <w:rFonts w:hint="eastAsia"/>
          <w:bCs/>
          <w:sz w:val="24"/>
          <w:szCs w:val="24"/>
        </w:rPr>
        <w:instrText xml:space="preserve">SEQ 表 \* ARABIC</w:instrText>
      </w:r>
      <w:r>
        <w:rPr>
          <w:bCs/>
          <w:sz w:val="24"/>
          <w:szCs w:val="24"/>
        </w:rPr>
        <w:instrText xml:space="preserve"> </w:instrText>
      </w:r>
      <w:r>
        <w:rPr>
          <w:bCs/>
          <w:sz w:val="24"/>
          <w:szCs w:val="24"/>
        </w:rPr>
        <w:fldChar w:fldCharType="separate"/>
      </w:r>
      <w:r>
        <w:rPr>
          <w:bCs/>
          <w:sz w:val="24"/>
          <w:szCs w:val="24"/>
        </w:rPr>
        <w:t>1</w:t>
      </w:r>
      <w:r>
        <w:rPr>
          <w:bCs/>
          <w:sz w:val="24"/>
          <w:szCs w:val="24"/>
        </w:rPr>
        <w:fldChar w:fldCharType="end"/>
      </w:r>
      <w:r>
        <w:rPr>
          <w:rFonts w:hint="eastAsia"/>
          <w:b/>
          <w:bCs/>
          <w:sz w:val="24"/>
          <w:szCs w:val="24"/>
        </w:rPr>
        <w:t>：《航空运输电子客票行程单</w:t>
      </w:r>
      <w:r>
        <w:rPr>
          <w:rFonts w:hint="eastAsia"/>
          <w:b/>
          <w:bCs/>
          <w:sz w:val="24"/>
          <w:szCs w:val="24"/>
          <w:lang w:eastAsia="zh-CN"/>
        </w:rPr>
        <w:t>标准</w:t>
      </w:r>
      <w:r>
        <w:rPr>
          <w:rFonts w:hint="eastAsia"/>
          <w:b/>
          <w:bCs/>
          <w:sz w:val="24"/>
          <w:szCs w:val="24"/>
        </w:rPr>
        <w:t>》（开具方）标记内容</w:t>
      </w:r>
    </w:p>
    <w:tbl>
      <w:tblPr>
        <w:tblStyle w:val="8"/>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1"/>
        <w:gridCol w:w="1276"/>
        <w:gridCol w:w="2551"/>
        <w:gridCol w:w="1276"/>
        <w:gridCol w:w="36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blHeader/>
          <w:jc w:val="center"/>
        </w:trPr>
        <w:tc>
          <w:tcPr>
            <w:tcW w:w="851" w:type="dxa"/>
            <w:shd w:val="clear" w:color="auto" w:fill="auto"/>
            <w:noWrap/>
            <w:vAlign w:val="center"/>
          </w:tcPr>
          <w:p>
            <w:pPr>
              <w:spacing w:after="0" w:line="240" w:lineRule="auto"/>
              <w:jc w:val="center"/>
              <w:rPr>
                <w:rFonts w:ascii="仿宋_GB2312" w:hAnsi="等线" w:eastAsia="仿宋_GB2312" w:cs="宋体"/>
                <w:b/>
                <w:bCs/>
                <w:color w:val="000000"/>
                <w:sz w:val="24"/>
                <w:szCs w:val="24"/>
              </w:rPr>
            </w:pPr>
            <w:r>
              <w:rPr>
                <w:rFonts w:hint="eastAsia" w:ascii="仿宋_GB2312" w:hAnsi="等线" w:eastAsia="仿宋_GB2312" w:cs="宋体"/>
                <w:b/>
                <w:bCs/>
                <w:color w:val="000000"/>
                <w:sz w:val="24"/>
                <w:szCs w:val="24"/>
              </w:rPr>
              <w:t>序号</w:t>
            </w:r>
          </w:p>
        </w:tc>
        <w:tc>
          <w:tcPr>
            <w:tcW w:w="1276" w:type="dxa"/>
            <w:shd w:val="clear" w:color="auto" w:fill="auto"/>
            <w:noWrap/>
            <w:vAlign w:val="center"/>
          </w:tcPr>
          <w:p>
            <w:pPr>
              <w:spacing w:after="0" w:line="240" w:lineRule="auto"/>
              <w:jc w:val="center"/>
              <w:rPr>
                <w:rFonts w:ascii="仿宋_GB2312" w:hAnsi="等线" w:eastAsia="仿宋_GB2312" w:cs="宋体"/>
                <w:b/>
                <w:bCs/>
                <w:color w:val="000000"/>
                <w:sz w:val="24"/>
                <w:szCs w:val="24"/>
              </w:rPr>
            </w:pPr>
            <w:r>
              <w:rPr>
                <w:rFonts w:hint="eastAsia" w:ascii="仿宋_GB2312" w:hAnsi="等线" w:eastAsia="仿宋_GB2312" w:cs="宋体"/>
                <w:b/>
                <w:bCs/>
                <w:color w:val="000000"/>
                <w:sz w:val="24"/>
                <w:szCs w:val="24"/>
              </w:rPr>
              <w:t>分组名称</w:t>
            </w:r>
          </w:p>
        </w:tc>
        <w:tc>
          <w:tcPr>
            <w:tcW w:w="2551" w:type="dxa"/>
            <w:shd w:val="clear" w:color="auto" w:fill="auto"/>
            <w:noWrap/>
            <w:vAlign w:val="center"/>
          </w:tcPr>
          <w:p>
            <w:pPr>
              <w:spacing w:after="0" w:line="240" w:lineRule="auto"/>
              <w:jc w:val="center"/>
              <w:rPr>
                <w:rFonts w:ascii="仿宋_GB2312" w:hAnsi="等线" w:eastAsia="仿宋_GB2312" w:cs="宋体"/>
                <w:b/>
                <w:bCs/>
                <w:color w:val="000000"/>
                <w:sz w:val="24"/>
                <w:szCs w:val="24"/>
              </w:rPr>
            </w:pPr>
            <w:r>
              <w:rPr>
                <w:rFonts w:hint="eastAsia" w:ascii="仿宋_GB2312" w:hAnsi="等线" w:eastAsia="仿宋_GB2312" w:cs="宋体"/>
                <w:b/>
                <w:bCs/>
                <w:color w:val="000000"/>
                <w:sz w:val="24"/>
                <w:szCs w:val="24"/>
              </w:rPr>
              <w:t>字段名称</w:t>
            </w:r>
          </w:p>
        </w:tc>
        <w:tc>
          <w:tcPr>
            <w:tcW w:w="1276" w:type="dxa"/>
            <w:shd w:val="clear" w:color="auto" w:fill="auto"/>
            <w:noWrap/>
            <w:vAlign w:val="center"/>
          </w:tcPr>
          <w:p>
            <w:pPr>
              <w:spacing w:after="0" w:line="240" w:lineRule="auto"/>
              <w:jc w:val="center"/>
              <w:rPr>
                <w:rFonts w:ascii="仿宋_GB2312" w:hAnsi="等线" w:eastAsia="仿宋_GB2312" w:cs="宋体"/>
                <w:b/>
                <w:bCs/>
                <w:color w:val="000000"/>
                <w:sz w:val="24"/>
                <w:szCs w:val="24"/>
              </w:rPr>
            </w:pPr>
            <w:r>
              <w:rPr>
                <w:rFonts w:hint="eastAsia" w:ascii="仿宋_GB2312" w:hAnsi="等线" w:eastAsia="仿宋_GB2312" w:cs="宋体"/>
                <w:b/>
                <w:bCs/>
                <w:color w:val="000000"/>
                <w:sz w:val="24"/>
                <w:szCs w:val="24"/>
              </w:rPr>
              <w:t>数据类型</w:t>
            </w:r>
          </w:p>
        </w:tc>
        <w:tc>
          <w:tcPr>
            <w:tcW w:w="3685" w:type="dxa"/>
            <w:shd w:val="clear" w:color="auto" w:fill="auto"/>
            <w:noWrap/>
            <w:vAlign w:val="center"/>
          </w:tcPr>
          <w:p>
            <w:pPr>
              <w:spacing w:after="0" w:line="240" w:lineRule="auto"/>
              <w:jc w:val="center"/>
              <w:rPr>
                <w:rFonts w:ascii="仿宋_GB2312" w:hAnsi="等线" w:eastAsia="仿宋_GB2312" w:cs="宋体"/>
                <w:b/>
                <w:bCs/>
                <w:color w:val="000000"/>
                <w:sz w:val="24"/>
                <w:szCs w:val="24"/>
              </w:rPr>
            </w:pPr>
            <w:r>
              <w:rPr>
                <w:rFonts w:hint="eastAsia" w:ascii="仿宋_GB2312" w:hAnsi="等线" w:eastAsia="仿宋_GB2312" w:cs="宋体"/>
                <w:b/>
                <w:bCs/>
                <w:color w:val="000000"/>
                <w:sz w:val="24"/>
                <w:szCs w:val="24"/>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1</w:t>
            </w:r>
          </w:p>
        </w:tc>
        <w:tc>
          <w:tcPr>
            <w:tcW w:w="1276" w:type="dxa"/>
            <w:vMerge w:val="restart"/>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抬头信息</w:t>
            </w: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国内国际标识</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r>
              <w:rPr>
                <w:rFonts w:hint="eastAsia" w:ascii="仿宋_GB2312" w:hAnsi="等线" w:eastAsia="仿宋_GB2312" w:cs="宋体"/>
                <w:color w:val="000000"/>
              </w:rPr>
              <w:t>用于区分国内国际电子客票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2</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GP单号</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r>
              <w:rPr>
                <w:rFonts w:hint="eastAsia" w:ascii="仿宋_GB2312" w:hAnsi="等线" w:eastAsia="仿宋_GB2312" w:cs="宋体"/>
                <w:color w:val="000000"/>
              </w:rPr>
              <w:t>若为政府通过GP系统采购，行程单上显示相应单号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3</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lang w:eastAsia="zh-CN"/>
              </w:rPr>
              <w:t>数电票（航空运输电子客票行程单）</w:t>
            </w:r>
            <w:r>
              <w:rPr>
                <w:rFonts w:hint="eastAsia" w:ascii="仿宋_GB2312" w:hAnsi="等线" w:eastAsia="仿宋_GB2312" w:cs="宋体"/>
                <w:color w:val="000000"/>
              </w:rPr>
              <w:t>号码</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r>
              <w:rPr>
                <w:rFonts w:hint="eastAsia" w:ascii="仿宋_GB2312" w:hAnsi="等线" w:eastAsia="仿宋_GB2312" w:cs="宋体"/>
                <w:color w:val="000000"/>
              </w:rPr>
              <w:t>作为</w:t>
            </w:r>
            <w:r>
              <w:rPr>
                <w:rFonts w:hint="eastAsia" w:ascii="仿宋_GB2312" w:hAnsi="等线" w:eastAsia="仿宋_GB2312" w:cs="宋体"/>
                <w:color w:val="000000"/>
                <w:lang w:eastAsia="zh-CN"/>
              </w:rPr>
              <w:t>数电票（航空运输电子客票行程单）</w:t>
            </w:r>
            <w:r>
              <w:rPr>
                <w:rFonts w:hint="eastAsia" w:ascii="仿宋_GB2312" w:hAnsi="等线" w:eastAsia="仿宋_GB2312" w:cs="宋体"/>
                <w:color w:val="000000"/>
              </w:rPr>
              <w:t>的唯一标识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4</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开票状态</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r>
              <w:rPr>
                <w:rFonts w:hint="eastAsia" w:ascii="仿宋_GB2312" w:hAnsi="等线" w:eastAsia="仿宋_GB2312" w:cs="宋体"/>
                <w:color w:val="000000"/>
              </w:rPr>
              <w:t>按照实际状态标记为“正常”或“红冲”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5</w:t>
            </w:r>
          </w:p>
        </w:tc>
        <w:tc>
          <w:tcPr>
            <w:tcW w:w="1276" w:type="dxa"/>
            <w:vMerge w:val="restart"/>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旅客信息</w:t>
            </w: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旅客姓名</w:t>
            </w:r>
          </w:p>
        </w:tc>
        <w:tc>
          <w:tcPr>
            <w:tcW w:w="1276" w:type="dxa"/>
            <w:shd w:val="clear" w:color="auto" w:fill="auto"/>
            <w:noWrap/>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6</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有效身份证件号码</w:t>
            </w:r>
          </w:p>
        </w:tc>
        <w:tc>
          <w:tcPr>
            <w:tcW w:w="1276" w:type="dxa"/>
            <w:shd w:val="clear" w:color="auto" w:fill="auto"/>
            <w:noWrap/>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7</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签注</w:t>
            </w:r>
          </w:p>
        </w:tc>
        <w:tc>
          <w:tcPr>
            <w:tcW w:w="1276" w:type="dxa"/>
            <w:shd w:val="clear" w:color="auto" w:fill="auto"/>
            <w:noWrap/>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8</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票价</w:t>
            </w:r>
          </w:p>
        </w:tc>
        <w:tc>
          <w:tcPr>
            <w:tcW w:w="1276" w:type="dxa"/>
            <w:shd w:val="clear" w:color="auto" w:fill="auto"/>
            <w:noWrap/>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货币型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r>
              <w:rPr>
                <w:rFonts w:hint="eastAsia" w:ascii="仿宋_GB2312" w:hAnsi="等线" w:eastAsia="仿宋_GB2312" w:cs="宋体"/>
                <w:color w:val="000000"/>
              </w:rPr>
              <w:t>精确至小数点后两位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9</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燃油附加费</w:t>
            </w:r>
          </w:p>
        </w:tc>
        <w:tc>
          <w:tcPr>
            <w:tcW w:w="1276" w:type="dxa"/>
            <w:shd w:val="clear" w:color="auto" w:fill="auto"/>
            <w:noWrap/>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货币型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r>
              <w:rPr>
                <w:rFonts w:hint="eastAsia" w:ascii="仿宋_GB2312" w:hAnsi="等线" w:eastAsia="仿宋_GB2312" w:cs="宋体"/>
                <w:color w:val="000000"/>
              </w:rPr>
              <w:t>精确至小数点后两位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10</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增值税税率</w:t>
            </w:r>
          </w:p>
        </w:tc>
        <w:tc>
          <w:tcPr>
            <w:tcW w:w="1276" w:type="dxa"/>
            <w:shd w:val="clear" w:color="auto" w:fill="auto"/>
            <w:noWrap/>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百分比型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11</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增值税税额</w:t>
            </w:r>
          </w:p>
        </w:tc>
        <w:tc>
          <w:tcPr>
            <w:tcW w:w="1276" w:type="dxa"/>
            <w:shd w:val="clear" w:color="auto" w:fill="auto"/>
            <w:noWrap/>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货币型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r>
              <w:rPr>
                <w:rFonts w:hint="eastAsia" w:ascii="仿宋_GB2312" w:hAnsi="等线" w:eastAsia="仿宋_GB2312" w:cs="宋体"/>
                <w:color w:val="000000"/>
              </w:rPr>
              <w:t>精确至小数点后两位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12</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民航发展基金</w:t>
            </w:r>
          </w:p>
        </w:tc>
        <w:tc>
          <w:tcPr>
            <w:tcW w:w="1276" w:type="dxa"/>
            <w:shd w:val="clear" w:color="auto" w:fill="auto"/>
            <w:noWrap/>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货币型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r>
              <w:rPr>
                <w:rFonts w:hint="eastAsia" w:ascii="仿宋_GB2312" w:hAnsi="等线" w:eastAsia="仿宋_GB2312" w:cs="宋体"/>
                <w:color w:val="000000"/>
              </w:rPr>
              <w:t>精确至小数点后两位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13</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其他税费</w:t>
            </w:r>
          </w:p>
        </w:tc>
        <w:tc>
          <w:tcPr>
            <w:tcW w:w="1276" w:type="dxa"/>
            <w:shd w:val="clear" w:color="auto" w:fill="auto"/>
            <w:noWrap/>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货币型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r>
              <w:rPr>
                <w:rFonts w:hint="eastAsia" w:ascii="仿宋_GB2312" w:hAnsi="等线" w:eastAsia="仿宋_GB2312" w:cs="宋体"/>
                <w:color w:val="000000"/>
              </w:rPr>
              <w:t>精确至小数点后两位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14</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金额合计</w:t>
            </w:r>
          </w:p>
        </w:tc>
        <w:tc>
          <w:tcPr>
            <w:tcW w:w="1276" w:type="dxa"/>
            <w:shd w:val="clear" w:color="auto" w:fill="auto"/>
            <w:noWrap/>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货币型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r>
              <w:rPr>
                <w:rFonts w:hint="eastAsia" w:ascii="仿宋_GB2312" w:hAnsi="等线" w:eastAsia="仿宋_GB2312" w:cs="宋体"/>
                <w:color w:val="000000"/>
              </w:rPr>
              <w:t>精确至小数点后两位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15</w:t>
            </w:r>
          </w:p>
        </w:tc>
        <w:tc>
          <w:tcPr>
            <w:tcW w:w="1276" w:type="dxa"/>
            <w:vMerge w:val="restart"/>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客票明细信息</w:t>
            </w: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始发站</w:t>
            </w:r>
          </w:p>
        </w:tc>
        <w:tc>
          <w:tcPr>
            <w:tcW w:w="1276" w:type="dxa"/>
            <w:shd w:val="clear" w:color="auto" w:fill="auto"/>
            <w:noWrap/>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16</w:t>
            </w:r>
          </w:p>
        </w:tc>
        <w:tc>
          <w:tcPr>
            <w:tcW w:w="1276" w:type="dxa"/>
            <w:vMerge w:val="continue"/>
            <w:shd w:val="clear" w:color="auto" w:fill="auto"/>
            <w:noWrap/>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目的站</w:t>
            </w:r>
          </w:p>
        </w:tc>
        <w:tc>
          <w:tcPr>
            <w:tcW w:w="1276" w:type="dxa"/>
            <w:shd w:val="clear" w:color="auto" w:fill="auto"/>
            <w:noWrap/>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17</w:t>
            </w:r>
          </w:p>
        </w:tc>
        <w:tc>
          <w:tcPr>
            <w:tcW w:w="1276" w:type="dxa"/>
            <w:vMerge w:val="continue"/>
            <w:shd w:val="clear" w:color="auto" w:fill="auto"/>
            <w:noWrap/>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航段</w:t>
            </w:r>
          </w:p>
        </w:tc>
        <w:tc>
          <w:tcPr>
            <w:tcW w:w="1276" w:type="dxa"/>
            <w:shd w:val="clear" w:color="auto" w:fill="auto"/>
            <w:noWrap/>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r>
              <w:rPr>
                <w:rFonts w:hint="eastAsia" w:ascii="仿宋_GB2312" w:hAnsi="等线" w:eastAsia="仿宋_GB2312" w:cs="宋体"/>
                <w:color w:val="000000"/>
              </w:rPr>
              <w:t>标记航段飞行顺序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1</w:t>
            </w:r>
            <w:r>
              <w:rPr>
                <w:rFonts w:ascii="仿宋_GB2312" w:hAnsi="等线" w:eastAsia="仿宋_GB2312" w:cs="宋体"/>
                <w:color w:val="000000"/>
              </w:rPr>
              <w:t>8</w:t>
            </w:r>
          </w:p>
        </w:tc>
        <w:tc>
          <w:tcPr>
            <w:tcW w:w="1276" w:type="dxa"/>
            <w:vMerge w:val="continue"/>
            <w:shd w:val="clear" w:color="auto" w:fill="auto"/>
            <w:noWrap/>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承运人</w:t>
            </w:r>
          </w:p>
        </w:tc>
        <w:tc>
          <w:tcPr>
            <w:tcW w:w="1276" w:type="dxa"/>
            <w:shd w:val="clear" w:color="auto" w:fill="auto"/>
            <w:noWrap/>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1</w:t>
            </w:r>
            <w:r>
              <w:rPr>
                <w:rFonts w:ascii="仿宋_GB2312" w:hAnsi="等线" w:eastAsia="仿宋_GB2312" w:cs="宋体"/>
                <w:color w:val="000000"/>
              </w:rPr>
              <w:t>9</w:t>
            </w:r>
          </w:p>
        </w:tc>
        <w:tc>
          <w:tcPr>
            <w:tcW w:w="1276" w:type="dxa"/>
            <w:vMerge w:val="continue"/>
            <w:shd w:val="clear" w:color="auto" w:fill="auto"/>
            <w:noWrap/>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航班号</w:t>
            </w:r>
          </w:p>
        </w:tc>
        <w:tc>
          <w:tcPr>
            <w:tcW w:w="1276" w:type="dxa"/>
            <w:shd w:val="clear" w:color="auto" w:fill="auto"/>
            <w:noWrap/>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2</w:t>
            </w:r>
            <w:r>
              <w:rPr>
                <w:rFonts w:ascii="仿宋_GB2312" w:hAnsi="等线" w:eastAsia="仿宋_GB2312" w:cs="宋体"/>
                <w:color w:val="000000"/>
              </w:rPr>
              <w:t>0</w:t>
            </w:r>
          </w:p>
        </w:tc>
        <w:tc>
          <w:tcPr>
            <w:tcW w:w="1276" w:type="dxa"/>
            <w:vMerge w:val="continue"/>
            <w:shd w:val="clear" w:color="auto" w:fill="auto"/>
            <w:noWrap/>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座位等级</w:t>
            </w:r>
          </w:p>
        </w:tc>
        <w:tc>
          <w:tcPr>
            <w:tcW w:w="1276" w:type="dxa"/>
            <w:shd w:val="clear" w:color="auto" w:fill="auto"/>
            <w:noWrap/>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2</w:t>
            </w:r>
            <w:r>
              <w:rPr>
                <w:rFonts w:ascii="仿宋_GB2312" w:hAnsi="等线" w:eastAsia="仿宋_GB2312" w:cs="宋体"/>
                <w:color w:val="000000"/>
              </w:rPr>
              <w:t>1</w:t>
            </w:r>
          </w:p>
        </w:tc>
        <w:tc>
          <w:tcPr>
            <w:tcW w:w="1276" w:type="dxa"/>
            <w:vMerge w:val="continue"/>
            <w:shd w:val="clear" w:color="auto" w:fill="auto"/>
            <w:noWrap/>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承运日期</w:t>
            </w:r>
          </w:p>
        </w:tc>
        <w:tc>
          <w:tcPr>
            <w:tcW w:w="1276" w:type="dxa"/>
            <w:shd w:val="clear" w:color="auto" w:fill="auto"/>
            <w:noWrap/>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r>
              <w:rPr>
                <w:rFonts w:hint="eastAsia" w:ascii="仿宋_GB2312" w:hAnsi="等线" w:eastAsia="仿宋_GB2312" w:cs="宋体"/>
                <w:color w:val="000000"/>
              </w:rPr>
              <w:t>若不适用，则标记空值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2</w:t>
            </w:r>
            <w:r>
              <w:rPr>
                <w:rFonts w:ascii="仿宋_GB2312" w:hAnsi="等线" w:eastAsia="仿宋_GB2312" w:cs="宋体"/>
                <w:color w:val="000000"/>
              </w:rPr>
              <w:t>2</w:t>
            </w:r>
          </w:p>
        </w:tc>
        <w:tc>
          <w:tcPr>
            <w:tcW w:w="1276" w:type="dxa"/>
            <w:vMerge w:val="continue"/>
            <w:shd w:val="clear" w:color="auto" w:fill="auto"/>
            <w:noWrap/>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起飞时间</w:t>
            </w:r>
          </w:p>
        </w:tc>
        <w:tc>
          <w:tcPr>
            <w:tcW w:w="1276" w:type="dxa"/>
            <w:shd w:val="clear" w:color="auto" w:fill="auto"/>
            <w:noWrap/>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日期型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r>
              <w:rPr>
                <w:rFonts w:hint="eastAsia" w:ascii="仿宋_GB2312" w:hAnsi="等线" w:eastAsia="仿宋_GB2312" w:cs="宋体"/>
                <w:color w:val="000000"/>
              </w:rPr>
              <w:t>若不适用，则标记空值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2</w:t>
            </w:r>
            <w:r>
              <w:rPr>
                <w:rFonts w:ascii="仿宋_GB2312" w:hAnsi="等线" w:eastAsia="仿宋_GB2312" w:cs="宋体"/>
                <w:color w:val="000000"/>
              </w:rPr>
              <w:t>3</w:t>
            </w:r>
          </w:p>
        </w:tc>
        <w:tc>
          <w:tcPr>
            <w:tcW w:w="1276" w:type="dxa"/>
            <w:vMerge w:val="continue"/>
            <w:shd w:val="clear" w:color="auto" w:fill="auto"/>
            <w:noWrap/>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客票级别/客票类别</w:t>
            </w:r>
          </w:p>
        </w:tc>
        <w:tc>
          <w:tcPr>
            <w:tcW w:w="1276" w:type="dxa"/>
            <w:shd w:val="clear" w:color="auto" w:fill="auto"/>
            <w:noWrap/>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2</w:t>
            </w:r>
            <w:r>
              <w:rPr>
                <w:rFonts w:ascii="仿宋_GB2312" w:hAnsi="等线" w:eastAsia="仿宋_GB2312" w:cs="宋体"/>
                <w:color w:val="000000"/>
              </w:rPr>
              <w:t>4</w:t>
            </w:r>
          </w:p>
        </w:tc>
        <w:tc>
          <w:tcPr>
            <w:tcW w:w="1276" w:type="dxa"/>
            <w:vMerge w:val="continue"/>
            <w:shd w:val="clear" w:color="auto" w:fill="auto"/>
            <w:noWrap/>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客票生效日</w:t>
            </w:r>
          </w:p>
        </w:tc>
        <w:tc>
          <w:tcPr>
            <w:tcW w:w="1276" w:type="dxa"/>
            <w:shd w:val="clear" w:color="auto" w:fill="auto"/>
            <w:noWrap/>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日期型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r>
              <w:rPr>
                <w:rFonts w:hint="eastAsia" w:ascii="仿宋_GB2312" w:hAnsi="等线" w:eastAsia="仿宋_GB2312" w:cs="宋体"/>
                <w:color w:val="000000"/>
              </w:rPr>
              <w:t>若不适用，则标记空值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2</w:t>
            </w:r>
            <w:r>
              <w:rPr>
                <w:rFonts w:ascii="仿宋_GB2312" w:hAnsi="等线" w:eastAsia="仿宋_GB2312" w:cs="宋体"/>
                <w:color w:val="000000"/>
              </w:rPr>
              <w:t>5</w:t>
            </w:r>
          </w:p>
        </w:tc>
        <w:tc>
          <w:tcPr>
            <w:tcW w:w="1276" w:type="dxa"/>
            <w:vMerge w:val="continue"/>
            <w:shd w:val="clear" w:color="auto" w:fill="auto"/>
            <w:noWrap/>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有效截止日</w:t>
            </w:r>
          </w:p>
        </w:tc>
        <w:tc>
          <w:tcPr>
            <w:tcW w:w="1276" w:type="dxa"/>
            <w:shd w:val="clear" w:color="auto" w:fill="auto"/>
            <w:noWrap/>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日期型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r>
              <w:rPr>
                <w:rFonts w:hint="eastAsia" w:ascii="仿宋_GB2312" w:hAnsi="等线" w:eastAsia="仿宋_GB2312" w:cs="宋体"/>
                <w:color w:val="000000"/>
              </w:rPr>
              <w:t>若不适用，则标记空值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2</w:t>
            </w:r>
            <w:r>
              <w:rPr>
                <w:rFonts w:ascii="仿宋_GB2312" w:hAnsi="等线" w:eastAsia="仿宋_GB2312" w:cs="宋体"/>
                <w:color w:val="000000"/>
              </w:rPr>
              <w:t>6</w:t>
            </w:r>
          </w:p>
        </w:tc>
        <w:tc>
          <w:tcPr>
            <w:tcW w:w="1276" w:type="dxa"/>
            <w:vMerge w:val="continue"/>
            <w:shd w:val="clear" w:color="auto" w:fill="auto"/>
            <w:noWrap/>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免费行李额</w:t>
            </w:r>
          </w:p>
        </w:tc>
        <w:tc>
          <w:tcPr>
            <w:tcW w:w="1276" w:type="dxa"/>
            <w:shd w:val="clear" w:color="auto" w:fill="auto"/>
            <w:noWrap/>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2</w:t>
            </w:r>
            <w:r>
              <w:rPr>
                <w:rFonts w:ascii="仿宋_GB2312" w:hAnsi="等线" w:eastAsia="仿宋_GB2312" w:cs="宋体"/>
                <w:color w:val="000000"/>
              </w:rPr>
              <w:t>7</w:t>
            </w:r>
          </w:p>
        </w:tc>
        <w:tc>
          <w:tcPr>
            <w:tcW w:w="1276" w:type="dxa"/>
            <w:vMerge w:val="restart"/>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其他信息</w:t>
            </w: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电子客票号码</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2</w:t>
            </w:r>
            <w:r>
              <w:rPr>
                <w:rFonts w:ascii="仿宋_GB2312" w:hAnsi="等线" w:eastAsia="仿宋_GB2312" w:cs="宋体"/>
                <w:color w:val="000000"/>
              </w:rPr>
              <w:t>8</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验证码</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2</w:t>
            </w:r>
            <w:r>
              <w:rPr>
                <w:rFonts w:ascii="仿宋_GB2312" w:hAnsi="等线" w:eastAsia="仿宋_GB2312" w:cs="宋体"/>
                <w:color w:val="000000"/>
              </w:rPr>
              <w:t>9</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提示信息</w:t>
            </w:r>
          </w:p>
        </w:tc>
        <w:tc>
          <w:tcPr>
            <w:tcW w:w="1276" w:type="dxa"/>
            <w:shd w:val="clear" w:color="auto" w:fill="auto"/>
            <w:noWrap/>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3</w:t>
            </w:r>
            <w:r>
              <w:rPr>
                <w:rFonts w:ascii="仿宋_GB2312" w:hAnsi="等线" w:eastAsia="仿宋_GB2312" w:cs="宋体"/>
                <w:color w:val="000000"/>
              </w:rPr>
              <w:t>0</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保险费</w:t>
            </w:r>
          </w:p>
        </w:tc>
        <w:tc>
          <w:tcPr>
            <w:tcW w:w="1276" w:type="dxa"/>
            <w:shd w:val="clear" w:color="auto" w:fill="auto"/>
            <w:noWrap/>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3</w:t>
            </w:r>
            <w:r>
              <w:rPr>
                <w:rFonts w:ascii="仿宋_GB2312" w:hAnsi="等线" w:eastAsia="仿宋_GB2312" w:cs="宋体"/>
                <w:color w:val="000000"/>
              </w:rPr>
              <w:t>1</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销售网点代号</w:t>
            </w:r>
          </w:p>
        </w:tc>
        <w:tc>
          <w:tcPr>
            <w:tcW w:w="1276" w:type="dxa"/>
            <w:shd w:val="clear" w:color="auto" w:fill="auto"/>
            <w:noWrap/>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3</w:t>
            </w:r>
            <w:r>
              <w:rPr>
                <w:rFonts w:ascii="仿宋_GB2312" w:hAnsi="等线" w:eastAsia="仿宋_GB2312" w:cs="宋体"/>
                <w:color w:val="000000"/>
              </w:rPr>
              <w:t>2</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填开单位</w:t>
            </w:r>
          </w:p>
        </w:tc>
        <w:tc>
          <w:tcPr>
            <w:tcW w:w="1276" w:type="dxa"/>
            <w:shd w:val="clear" w:color="auto" w:fill="auto"/>
            <w:noWrap/>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3</w:t>
            </w:r>
            <w:r>
              <w:rPr>
                <w:rFonts w:ascii="仿宋_GB2312" w:hAnsi="等线" w:eastAsia="仿宋_GB2312" w:cs="宋体"/>
                <w:color w:val="000000"/>
              </w:rPr>
              <w:t>3</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填开日期</w:t>
            </w:r>
          </w:p>
        </w:tc>
        <w:tc>
          <w:tcPr>
            <w:tcW w:w="1276" w:type="dxa"/>
            <w:shd w:val="clear" w:color="auto" w:fill="auto"/>
            <w:noWrap/>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日期型</w:t>
            </w:r>
          </w:p>
        </w:tc>
        <w:tc>
          <w:tcPr>
            <w:tcW w:w="3685"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3</w:t>
            </w:r>
            <w:r>
              <w:rPr>
                <w:rFonts w:ascii="仿宋_GB2312" w:hAnsi="等线" w:eastAsia="仿宋_GB2312" w:cs="宋体"/>
                <w:color w:val="000000"/>
              </w:rPr>
              <w:t>4</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销售方名称</w:t>
            </w:r>
          </w:p>
        </w:tc>
        <w:tc>
          <w:tcPr>
            <w:tcW w:w="1276" w:type="dxa"/>
            <w:shd w:val="clear" w:color="auto" w:fill="auto"/>
            <w:noWrap/>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3</w:t>
            </w:r>
            <w:r>
              <w:rPr>
                <w:rFonts w:ascii="仿宋_GB2312" w:hAnsi="等线" w:eastAsia="仿宋_GB2312" w:cs="宋体"/>
                <w:color w:val="000000"/>
              </w:rPr>
              <w:t>5</w:t>
            </w:r>
          </w:p>
        </w:tc>
        <w:tc>
          <w:tcPr>
            <w:tcW w:w="1276" w:type="dxa"/>
            <w:vMerge w:val="restart"/>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购买方信息</w:t>
            </w: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购买方名称</w:t>
            </w:r>
          </w:p>
        </w:tc>
        <w:tc>
          <w:tcPr>
            <w:tcW w:w="1276" w:type="dxa"/>
            <w:shd w:val="clear" w:color="auto" w:fill="auto"/>
            <w:noWrap/>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3</w:t>
            </w:r>
            <w:r>
              <w:rPr>
                <w:rFonts w:ascii="仿宋_GB2312" w:hAnsi="等线" w:eastAsia="仿宋_GB2312" w:cs="宋体"/>
                <w:color w:val="000000"/>
              </w:rPr>
              <w:t>6</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购买方统一社会信用代码</w:t>
            </w:r>
          </w:p>
        </w:tc>
        <w:tc>
          <w:tcPr>
            <w:tcW w:w="1276" w:type="dxa"/>
            <w:shd w:val="clear" w:color="auto" w:fill="auto"/>
            <w:noWrap/>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3</w:t>
            </w:r>
            <w:r>
              <w:rPr>
                <w:rFonts w:ascii="仿宋_GB2312" w:hAnsi="等线" w:eastAsia="仿宋_GB2312" w:cs="宋体"/>
                <w:color w:val="000000"/>
              </w:rPr>
              <w:t>7</w:t>
            </w:r>
          </w:p>
        </w:tc>
        <w:tc>
          <w:tcPr>
            <w:tcW w:w="1276" w:type="dxa"/>
            <w:vMerge w:val="restart"/>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红字行程单信息</w:t>
            </w: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原</w:t>
            </w:r>
            <w:r>
              <w:rPr>
                <w:rFonts w:hint="eastAsia" w:ascii="仿宋_GB2312" w:hAnsi="等线" w:eastAsia="仿宋_GB2312" w:cs="宋体"/>
                <w:color w:val="000000"/>
                <w:lang w:eastAsia="zh-CN"/>
              </w:rPr>
              <w:t>数电票（航空运输电子客票行程单）</w:t>
            </w:r>
            <w:r>
              <w:rPr>
                <w:rFonts w:hint="eastAsia" w:ascii="仿宋_GB2312" w:hAnsi="等线" w:eastAsia="仿宋_GB2312" w:cs="宋体"/>
                <w:color w:val="000000"/>
              </w:rPr>
              <w:t>号码</w:t>
            </w:r>
          </w:p>
        </w:tc>
        <w:tc>
          <w:tcPr>
            <w:tcW w:w="1276" w:type="dxa"/>
            <w:shd w:val="clear" w:color="auto" w:fill="auto"/>
            <w:noWrap/>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3</w:t>
            </w:r>
            <w:r>
              <w:rPr>
                <w:rFonts w:ascii="仿宋_GB2312" w:hAnsi="等线" w:eastAsia="仿宋_GB2312" w:cs="宋体"/>
                <w:color w:val="000000"/>
              </w:rPr>
              <w:t>8</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冲红原因</w:t>
            </w:r>
          </w:p>
        </w:tc>
        <w:tc>
          <w:tcPr>
            <w:tcW w:w="1276" w:type="dxa"/>
            <w:shd w:val="clear" w:color="auto" w:fill="auto"/>
            <w:noWrap/>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p>
        </w:tc>
      </w:tr>
    </w:tbl>
    <w:p>
      <w:pPr>
        <w:pStyle w:val="14"/>
        <w:numPr>
          <w:ilvl w:val="0"/>
          <w:numId w:val="3"/>
        </w:numPr>
        <w:wordWrap/>
        <w:spacing w:line="560" w:lineRule="exact"/>
        <w:ind w:firstLine="560" w:firstLineChars="0"/>
        <w:outlineLvl w:val="1"/>
      </w:pPr>
      <w:r>
        <w:rPr>
          <w:rFonts w:hint="eastAsia"/>
        </w:rPr>
        <w:t>X</w:t>
      </w:r>
      <w:r>
        <w:t>BRL</w:t>
      </w:r>
      <w:r>
        <w:rPr>
          <w:rFonts w:hint="eastAsia"/>
        </w:rPr>
        <w:t>实例文档要素说明</w:t>
      </w:r>
    </w:p>
    <w:p>
      <w:pPr>
        <w:pStyle w:val="15"/>
        <w:wordWrap/>
        <w:spacing w:after="0" w:line="560" w:lineRule="exact"/>
        <w:rPr>
          <w:lang w:val="en-GB"/>
        </w:rPr>
      </w:pPr>
      <w:r>
        <w:rPr>
          <w:rFonts w:hint="eastAsia"/>
        </w:rPr>
        <w:t>实例文档作为航空运输电子客票行程单结构化数据的载体，不仅包含了数据本身及其与《航空运输电子客票行程单</w:t>
      </w:r>
      <w:r>
        <w:rPr>
          <w:rFonts w:hint="eastAsia"/>
          <w:lang w:eastAsia="zh-CN"/>
        </w:rPr>
        <w:t>标准</w:t>
      </w:r>
      <w:r>
        <w:rPr>
          <w:rFonts w:hint="eastAsia"/>
        </w:rPr>
        <w:t>》元素之间的对应关系，同时也包含了数据相关的属性信息（如数据所属时间、单位等），这些信息使得标记数据能够与业务场景紧密关联起来。</w:t>
      </w:r>
    </w:p>
    <w:p>
      <w:pPr>
        <w:pStyle w:val="15"/>
        <w:wordWrap/>
        <w:spacing w:after="0" w:line="560" w:lineRule="exact"/>
      </w:pPr>
      <w:r>
        <w:rPr>
          <w:rFonts w:hint="eastAsia"/>
        </w:rPr>
        <w:t>实例文档共包含五类内容，分别是根元素（</w:t>
      </w:r>
      <w:r>
        <w:t>xbrli:xbrl</w:t>
      </w:r>
      <w:r>
        <w:rPr>
          <w:rFonts w:hint="eastAsia"/>
        </w:rPr>
        <w:t>）、</w:t>
      </w:r>
      <w:r>
        <w:rPr>
          <w:rFonts w:hint="eastAsia"/>
          <w:lang w:eastAsia="zh-CN"/>
        </w:rPr>
        <w:t>标准</w:t>
      </w:r>
      <w:r>
        <w:rPr>
          <w:rFonts w:hint="eastAsia"/>
        </w:rPr>
        <w:t>引用（</w:t>
      </w:r>
      <w:r>
        <w:t>link:schemaRef</w:t>
      </w:r>
      <w:r>
        <w:rPr>
          <w:rFonts w:hint="eastAsia"/>
        </w:rPr>
        <w:t>）、事实值（fact</w:t>
      </w:r>
      <w:r>
        <w:t>）</w:t>
      </w:r>
      <w:r>
        <w:rPr>
          <w:rFonts w:hint="eastAsia"/>
        </w:rPr>
        <w:t>、上下文（context）和单位（</w:t>
      </w:r>
      <w:r>
        <w:t>unit</w:t>
      </w:r>
      <w:r>
        <w:rPr>
          <w:rFonts w:hint="eastAsia"/>
        </w:rPr>
        <w:t>），使用者可结合三个要素的具体信息来进一步理解实例文档。</w:t>
      </w:r>
    </w:p>
    <w:p>
      <w:pPr>
        <w:pStyle w:val="15"/>
        <w:numPr>
          <w:ilvl w:val="0"/>
          <w:numId w:val="4"/>
        </w:numPr>
        <w:wordWrap/>
        <w:spacing w:after="0" w:line="560" w:lineRule="exact"/>
        <w:ind w:firstLineChars="0"/>
        <w:rPr>
          <w:b/>
          <w:bCs/>
        </w:rPr>
      </w:pPr>
      <w:r>
        <w:rPr>
          <w:rFonts w:hint="eastAsia"/>
          <w:b/>
          <w:bCs/>
        </w:rPr>
        <w:t>根元素</w:t>
      </w:r>
    </w:p>
    <w:p>
      <w:pPr>
        <w:pStyle w:val="15"/>
        <w:wordWrap/>
        <w:spacing w:after="0" w:line="560" w:lineRule="exact"/>
      </w:pPr>
      <w:r>
        <w:rPr>
          <w:rFonts w:hint="eastAsia"/>
        </w:rPr>
        <w:t>实例文档根元素的标签名是&lt;xbrli:xbrl&gt;，根元素标签的属性是实例文档所引用的所有命名空间信息，其中也包括《航空运输电子客票行程单</w:t>
      </w:r>
      <w:r>
        <w:rPr>
          <w:rFonts w:hint="eastAsia"/>
          <w:lang w:eastAsia="zh-CN"/>
        </w:rPr>
        <w:t>标准</w:t>
      </w:r>
      <w:r>
        <w:rPr>
          <w:rFonts w:hint="eastAsia"/>
        </w:rPr>
        <w:t>》前缀atr，具体如下表</w:t>
      </w:r>
      <w:r>
        <w:t>2</w:t>
      </w:r>
      <w:r>
        <w:rPr>
          <w:rFonts w:hint="eastAsia"/>
        </w:rPr>
        <w:t>所示：</w:t>
      </w:r>
    </w:p>
    <w:p>
      <w:pPr>
        <w:pStyle w:val="15"/>
        <w:wordWrap/>
        <w:spacing w:after="0" w:line="560" w:lineRule="exact"/>
        <w:ind w:firstLine="0" w:firstLineChars="0"/>
        <w:jc w:val="center"/>
        <w:rPr>
          <w:b/>
          <w:sz w:val="24"/>
          <w:szCs w:val="24"/>
        </w:rPr>
      </w:pPr>
      <w:r>
        <w:rPr>
          <w:rFonts w:hint="eastAsia"/>
          <w:b/>
          <w:bCs/>
          <w:sz w:val="24"/>
          <w:szCs w:val="24"/>
        </w:rPr>
        <w:t xml:space="preserve">表 </w:t>
      </w:r>
      <w:r>
        <w:rPr>
          <w:bCs/>
          <w:sz w:val="24"/>
          <w:szCs w:val="24"/>
        </w:rPr>
        <w:fldChar w:fldCharType="begin"/>
      </w:r>
      <w:r>
        <w:rPr>
          <w:bCs/>
          <w:sz w:val="24"/>
          <w:szCs w:val="24"/>
        </w:rPr>
        <w:instrText xml:space="preserve"> </w:instrText>
      </w:r>
      <w:r>
        <w:rPr>
          <w:rFonts w:hint="eastAsia"/>
          <w:bCs/>
          <w:sz w:val="24"/>
          <w:szCs w:val="24"/>
        </w:rPr>
        <w:instrText xml:space="preserve">SEQ 表 \* ARABIC</w:instrText>
      </w:r>
      <w:r>
        <w:rPr>
          <w:bCs/>
          <w:sz w:val="24"/>
          <w:szCs w:val="24"/>
        </w:rPr>
        <w:instrText xml:space="preserve"> </w:instrText>
      </w:r>
      <w:r>
        <w:rPr>
          <w:bCs/>
          <w:sz w:val="24"/>
          <w:szCs w:val="24"/>
        </w:rPr>
        <w:fldChar w:fldCharType="separate"/>
      </w:r>
      <w:r>
        <w:rPr>
          <w:bCs/>
          <w:sz w:val="24"/>
          <w:szCs w:val="24"/>
        </w:rPr>
        <w:t>2</w:t>
      </w:r>
      <w:r>
        <w:rPr>
          <w:bCs/>
          <w:sz w:val="24"/>
          <w:szCs w:val="24"/>
        </w:rPr>
        <w:fldChar w:fldCharType="end"/>
      </w:r>
      <w:r>
        <w:rPr>
          <w:rFonts w:hint="eastAsia"/>
          <w:b/>
          <w:bCs/>
          <w:sz w:val="24"/>
          <w:szCs w:val="24"/>
        </w:rPr>
        <w:t>：</w:t>
      </w:r>
      <w:r>
        <w:rPr>
          <w:rFonts w:hint="eastAsia"/>
          <w:b/>
          <w:sz w:val="24"/>
          <w:szCs w:val="24"/>
        </w:rPr>
        <w:t>《航空运输电子客票行程单</w:t>
      </w:r>
      <w:r>
        <w:rPr>
          <w:rFonts w:hint="eastAsia"/>
          <w:b/>
          <w:sz w:val="24"/>
          <w:szCs w:val="24"/>
          <w:lang w:eastAsia="zh-CN"/>
        </w:rPr>
        <w:t>标准</w:t>
      </w:r>
      <w:r>
        <w:rPr>
          <w:rFonts w:hint="eastAsia"/>
          <w:b/>
          <w:sz w:val="24"/>
          <w:szCs w:val="24"/>
        </w:rPr>
        <w:t>》标记内容</w:t>
      </w:r>
    </w:p>
    <w:tbl>
      <w:tblPr>
        <w:tblStyle w:val="8"/>
        <w:tblW w:w="8247"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033"/>
        <w:gridCol w:w="5034"/>
        <w:gridCol w:w="2180"/>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tblHeader/>
          <w:jc w:val="center"/>
        </w:trPr>
        <w:tc>
          <w:tcPr>
            <w:tcW w:w="1033" w:type="dxa"/>
            <w:shd w:val="clear" w:color="auto" w:fill="auto"/>
            <w:vAlign w:val="center"/>
          </w:tcPr>
          <w:p>
            <w:pPr>
              <w:spacing w:after="0" w:line="560" w:lineRule="exact"/>
              <w:jc w:val="center"/>
              <w:rPr>
                <w:rFonts w:ascii="Times New Roman" w:hAnsi="Times New Roman" w:eastAsia="仿宋_GB2312"/>
                <w:b/>
                <w:color w:val="000000"/>
                <w:sz w:val="24"/>
                <w:szCs w:val="24"/>
              </w:rPr>
            </w:pPr>
            <w:r>
              <w:rPr>
                <w:rFonts w:hint="eastAsia" w:ascii="Times New Roman" w:hAnsi="Times New Roman" w:eastAsia="仿宋_GB2312"/>
                <w:b/>
                <w:color w:val="000000"/>
                <w:sz w:val="24"/>
                <w:szCs w:val="24"/>
              </w:rPr>
              <w:t>前缀</w:t>
            </w:r>
          </w:p>
        </w:tc>
        <w:tc>
          <w:tcPr>
            <w:tcW w:w="5034" w:type="dxa"/>
            <w:shd w:val="clear" w:color="auto" w:fill="auto"/>
            <w:vAlign w:val="center"/>
          </w:tcPr>
          <w:p>
            <w:pPr>
              <w:spacing w:after="0" w:line="560" w:lineRule="exact"/>
              <w:jc w:val="center"/>
              <w:rPr>
                <w:rFonts w:ascii="Times New Roman" w:hAnsi="Times New Roman" w:eastAsia="仿宋_GB2312"/>
                <w:b/>
                <w:color w:val="000000"/>
                <w:sz w:val="24"/>
                <w:szCs w:val="24"/>
              </w:rPr>
            </w:pPr>
            <w:r>
              <w:rPr>
                <w:rFonts w:hint="eastAsia" w:ascii="Times New Roman" w:hAnsi="Times New Roman" w:eastAsia="仿宋_GB2312"/>
                <w:b/>
                <w:color w:val="000000"/>
                <w:sz w:val="24"/>
                <w:szCs w:val="24"/>
              </w:rPr>
              <w:t>命名空间URL</w:t>
            </w:r>
          </w:p>
        </w:tc>
        <w:tc>
          <w:tcPr>
            <w:tcW w:w="2180" w:type="dxa"/>
            <w:shd w:val="clear" w:color="auto" w:fill="auto"/>
            <w:vAlign w:val="center"/>
          </w:tcPr>
          <w:p>
            <w:pPr>
              <w:spacing w:after="0" w:line="560" w:lineRule="exact"/>
              <w:jc w:val="center"/>
              <w:rPr>
                <w:rFonts w:ascii="Times New Roman" w:hAnsi="Times New Roman" w:eastAsia="仿宋_GB2312"/>
                <w:b/>
                <w:color w:val="000000"/>
                <w:sz w:val="24"/>
                <w:szCs w:val="24"/>
              </w:rPr>
            </w:pPr>
            <w:r>
              <w:rPr>
                <w:rFonts w:hint="eastAsia" w:ascii="Times New Roman" w:hAnsi="Times New Roman" w:eastAsia="仿宋_GB2312"/>
                <w:b/>
                <w:color w:val="000000"/>
                <w:sz w:val="24"/>
                <w:szCs w:val="24"/>
              </w:rPr>
              <w:t>描述</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033" w:type="dxa"/>
          </w:tcPr>
          <w:p>
            <w:pPr>
              <w:spacing w:after="0" w:line="560" w:lineRule="exact"/>
              <w:jc w:val="both"/>
              <w:rPr>
                <w:rFonts w:ascii="Times New Roman" w:hAnsi="Times New Roman" w:eastAsia="仿宋_GB2312"/>
                <w:color w:val="000000"/>
                <w:sz w:val="24"/>
                <w:szCs w:val="24"/>
              </w:rPr>
            </w:pPr>
            <w:r>
              <w:rPr>
                <w:rFonts w:ascii="Times New Roman" w:hAnsi="Times New Roman" w:eastAsia="仿宋_GB2312"/>
                <w:color w:val="000000"/>
                <w:sz w:val="24"/>
                <w:szCs w:val="24"/>
              </w:rPr>
              <w:t>a</w:t>
            </w:r>
            <w:r>
              <w:rPr>
                <w:rFonts w:hint="eastAsia" w:ascii="Times New Roman" w:hAnsi="Times New Roman" w:eastAsia="仿宋_GB2312"/>
                <w:color w:val="000000"/>
                <w:sz w:val="24"/>
                <w:szCs w:val="24"/>
              </w:rPr>
              <w:t>tr</w:t>
            </w:r>
          </w:p>
        </w:tc>
        <w:tc>
          <w:tcPr>
            <w:tcW w:w="5034" w:type="dxa"/>
          </w:tcPr>
          <w:p>
            <w:pPr>
              <w:spacing w:after="0" w:line="560" w:lineRule="exact"/>
              <w:jc w:val="both"/>
              <w:rPr>
                <w:rFonts w:ascii="Times New Roman" w:hAnsi="Times New Roman" w:eastAsia="仿宋_GB2312"/>
                <w:color w:val="000000"/>
                <w:sz w:val="24"/>
                <w:szCs w:val="24"/>
              </w:rPr>
            </w:pPr>
            <w:r>
              <w:rPr>
                <w:rFonts w:ascii="Times New Roman" w:hAnsi="Times New Roman" w:eastAsia="仿宋_GB2312"/>
                <w:sz w:val="24"/>
                <w:szCs w:val="24"/>
              </w:rPr>
              <w:t>http://xbrl.mof.gov.cn/taxonomy/2023-05-15/atr</w:t>
            </w:r>
          </w:p>
        </w:tc>
        <w:tc>
          <w:tcPr>
            <w:tcW w:w="2180" w:type="dxa"/>
          </w:tcPr>
          <w:p>
            <w:pPr>
              <w:spacing w:after="0" w:line="560" w:lineRule="exact"/>
              <w:jc w:val="both"/>
              <w:rPr>
                <w:rFonts w:hint="eastAsia" w:ascii="Times New Roman" w:hAnsi="Times New Roman" w:eastAsia="仿宋_GB2312"/>
                <w:color w:val="000000"/>
                <w:sz w:val="24"/>
                <w:szCs w:val="24"/>
                <w:lang w:eastAsia="zh-CN"/>
              </w:rPr>
            </w:pPr>
            <w:r>
              <w:rPr>
                <w:rFonts w:hint="eastAsia" w:ascii="Times New Roman" w:hAnsi="Times New Roman" w:eastAsia="仿宋_GB2312"/>
                <w:sz w:val="24"/>
                <w:szCs w:val="24"/>
              </w:rPr>
              <w:t>航空运输电子客票行程单</w:t>
            </w:r>
            <w:r>
              <w:rPr>
                <w:rFonts w:hint="eastAsia" w:ascii="Times New Roman" w:hAnsi="Times New Roman" w:eastAsia="仿宋_GB2312"/>
                <w:sz w:val="24"/>
                <w:szCs w:val="24"/>
                <w:lang w:eastAsia="zh-CN"/>
              </w:rPr>
              <w:t>标准</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033"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num</w:t>
            </w:r>
          </w:p>
        </w:tc>
        <w:tc>
          <w:tcPr>
            <w:tcW w:w="5034"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http://www.xbrl.org/dtr/type/numeric</w:t>
            </w:r>
          </w:p>
        </w:tc>
        <w:tc>
          <w:tcPr>
            <w:tcW w:w="2180"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percentItemType数据类型命名空间</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rPr>
          <w:trHeight w:val="435" w:hRule="atLeast"/>
          <w:jc w:val="center"/>
        </w:trPr>
        <w:tc>
          <w:tcPr>
            <w:tcW w:w="1033" w:type="dxa"/>
          </w:tcPr>
          <w:p>
            <w:pPr>
              <w:spacing w:after="0" w:line="560" w:lineRule="exact"/>
              <w:jc w:val="both"/>
              <w:rPr>
                <w:rFonts w:ascii="Times New Roman" w:hAnsi="Times New Roman" w:eastAsia="仿宋_GB2312" w:cs="宋体"/>
                <w:sz w:val="24"/>
                <w:szCs w:val="24"/>
              </w:rPr>
            </w:pPr>
            <w:r>
              <w:rPr>
                <w:rFonts w:hint="eastAsia" w:ascii="Times New Roman" w:hAnsi="Times New Roman" w:eastAsia="仿宋_GB2312"/>
                <w:sz w:val="24"/>
                <w:szCs w:val="24"/>
              </w:rPr>
              <w:t>label</w:t>
            </w:r>
          </w:p>
        </w:tc>
        <w:tc>
          <w:tcPr>
            <w:tcW w:w="5034" w:type="dxa"/>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sz w:val="24"/>
                <w:szCs w:val="24"/>
              </w:rPr>
              <w:t>http://xbrl.org/2008/label</w:t>
            </w:r>
          </w:p>
        </w:tc>
        <w:tc>
          <w:tcPr>
            <w:tcW w:w="2180" w:type="dxa"/>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sz w:val="24"/>
                <w:szCs w:val="24"/>
              </w:rPr>
              <w:t>&lt;label&gt;标签定义</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033" w:type="dxa"/>
          </w:tcPr>
          <w:p>
            <w:pPr>
              <w:spacing w:after="0" w:line="560" w:lineRule="exact"/>
              <w:jc w:val="both"/>
              <w:rPr>
                <w:rFonts w:ascii="Times New Roman" w:hAnsi="Times New Roman" w:eastAsia="仿宋_GB2312" w:cs="宋体"/>
                <w:sz w:val="24"/>
                <w:szCs w:val="24"/>
              </w:rPr>
            </w:pPr>
            <w:r>
              <w:rPr>
                <w:rFonts w:hint="eastAsia" w:ascii="Times New Roman" w:hAnsi="Times New Roman" w:eastAsia="仿宋_GB2312"/>
                <w:sz w:val="24"/>
                <w:szCs w:val="24"/>
              </w:rPr>
              <w:t>xl</w:t>
            </w:r>
          </w:p>
        </w:tc>
        <w:tc>
          <w:tcPr>
            <w:tcW w:w="5034" w:type="dxa"/>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sz w:val="24"/>
                <w:szCs w:val="24"/>
              </w:rPr>
              <w:t>http://www.xbrl.org/2003/XLink</w:t>
            </w:r>
          </w:p>
        </w:tc>
        <w:tc>
          <w:tcPr>
            <w:tcW w:w="2180" w:type="dxa"/>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sz w:val="24"/>
                <w:szCs w:val="24"/>
              </w:rPr>
              <w:t>XBRL技术规范</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033"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link</w:t>
            </w:r>
          </w:p>
        </w:tc>
        <w:tc>
          <w:tcPr>
            <w:tcW w:w="5034"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http://www.xbrl.org/2003/linkbase</w:t>
            </w:r>
          </w:p>
        </w:tc>
        <w:tc>
          <w:tcPr>
            <w:tcW w:w="2180"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XBRL技术规范</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033"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xlink</w:t>
            </w:r>
          </w:p>
        </w:tc>
        <w:tc>
          <w:tcPr>
            <w:tcW w:w="5034"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http://www.w3.org/1999/xlink</w:t>
            </w:r>
          </w:p>
        </w:tc>
        <w:tc>
          <w:tcPr>
            <w:tcW w:w="2180"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XBRL技术规范</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rPr>
          <w:trHeight w:val="435" w:hRule="atLeast"/>
          <w:jc w:val="center"/>
        </w:trPr>
        <w:tc>
          <w:tcPr>
            <w:tcW w:w="1033"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xbrli</w:t>
            </w:r>
          </w:p>
        </w:tc>
        <w:tc>
          <w:tcPr>
            <w:tcW w:w="5034"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http://www.xbrl.org/2003/instance</w:t>
            </w:r>
          </w:p>
        </w:tc>
        <w:tc>
          <w:tcPr>
            <w:tcW w:w="2180"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XBRL技术规范</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033"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gen</w:t>
            </w:r>
          </w:p>
        </w:tc>
        <w:tc>
          <w:tcPr>
            <w:tcW w:w="5034"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http://xbrl.org/2008/generic</w:t>
            </w:r>
          </w:p>
        </w:tc>
        <w:tc>
          <w:tcPr>
            <w:tcW w:w="2180"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&lt;arc&gt;、&lt;link&gt;标签定义</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033"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iso4217</w:t>
            </w:r>
          </w:p>
        </w:tc>
        <w:tc>
          <w:tcPr>
            <w:tcW w:w="5034"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http://www.xbrl.org/2003/iso4217</w:t>
            </w:r>
          </w:p>
        </w:tc>
        <w:tc>
          <w:tcPr>
            <w:tcW w:w="2180"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计量单位定义</w:t>
            </w:r>
          </w:p>
        </w:tc>
      </w:tr>
    </w:tbl>
    <w:p>
      <w:pPr>
        <w:pStyle w:val="15"/>
        <w:numPr>
          <w:ilvl w:val="0"/>
          <w:numId w:val="4"/>
        </w:numPr>
        <w:wordWrap/>
        <w:spacing w:after="0" w:line="560" w:lineRule="exact"/>
        <w:ind w:firstLineChars="0"/>
        <w:rPr>
          <w:b/>
          <w:bCs/>
        </w:rPr>
      </w:pPr>
      <w:r>
        <w:rPr>
          <w:rFonts w:hint="eastAsia"/>
          <w:b/>
          <w:bCs/>
          <w:lang w:eastAsia="zh-CN"/>
        </w:rPr>
        <w:t>标准</w:t>
      </w:r>
      <w:r>
        <w:rPr>
          <w:rFonts w:hint="eastAsia"/>
          <w:b/>
          <w:bCs/>
        </w:rPr>
        <w:t>引用</w:t>
      </w:r>
    </w:p>
    <w:p>
      <w:pPr>
        <w:pStyle w:val="15"/>
        <w:wordWrap/>
        <w:spacing w:after="0" w:line="560" w:lineRule="exact"/>
        <w:ind w:firstLine="562" w:firstLineChars="0"/>
      </w:pPr>
      <w:r>
        <w:rPr>
          <w:rFonts w:hint="eastAsia"/>
        </w:rPr>
        <w:t>每一份实例文档都是基于一套</w:t>
      </w:r>
      <w:r>
        <w:rPr>
          <w:rFonts w:hint="eastAsia"/>
          <w:lang w:eastAsia="zh-CN"/>
        </w:rPr>
        <w:t>标准</w:t>
      </w:r>
      <w:r>
        <w:rPr>
          <w:rFonts w:hint="eastAsia"/>
        </w:rPr>
        <w:t>编制的，</w:t>
      </w:r>
      <w:r>
        <w:rPr>
          <w:rFonts w:hint="eastAsia"/>
          <w:lang w:eastAsia="zh-CN"/>
        </w:rPr>
        <w:t>标准</w:t>
      </w:r>
      <w:r>
        <w:rPr>
          <w:rFonts w:hint="eastAsia"/>
        </w:rPr>
        <w:t>是解析实例文档的基础。在根标签中，使用</w:t>
      </w:r>
      <w:r>
        <w:t>&lt;link:schemaRef&gt;</w:t>
      </w:r>
      <w:r>
        <w:rPr>
          <w:rFonts w:hint="eastAsia"/>
        </w:rPr>
        <w:t>标签定义实例文档对《航空运输电子客票行程单</w:t>
      </w:r>
      <w:r>
        <w:rPr>
          <w:rFonts w:hint="eastAsia"/>
          <w:lang w:eastAsia="zh-CN"/>
        </w:rPr>
        <w:t>标准</w:t>
      </w:r>
      <w:r>
        <w:rPr>
          <w:rFonts w:hint="eastAsia"/>
        </w:rPr>
        <w:t>》文件的引用，通过“</w:t>
      </w:r>
      <w:r>
        <w:t>xlink:href</w:t>
      </w:r>
      <w:r>
        <w:rPr>
          <w:rFonts w:hint="eastAsia"/>
        </w:rPr>
        <w:t>”指向引用《航空运输电子客票行程单</w:t>
      </w:r>
      <w:r>
        <w:rPr>
          <w:rFonts w:hint="eastAsia"/>
          <w:lang w:eastAsia="zh-CN"/>
        </w:rPr>
        <w:t>标准</w:t>
      </w:r>
      <w:r>
        <w:rPr>
          <w:rFonts w:hint="eastAsia"/>
        </w:rPr>
        <w:t>》的相对地址（以开具方为例）：</w:t>
      </w:r>
    </w:p>
    <w:p>
      <w:pPr>
        <w:pStyle w:val="15"/>
        <w:wordWrap/>
        <w:spacing w:after="0" w:line="560" w:lineRule="exact"/>
      </w:pPr>
      <w:r>
        <w:t>&lt;link:schemaRef xlink:type="simple" xlink:href="atr_issuer_entry_point_2023-05-15.xsd"/&gt;</w:t>
      </w:r>
    </w:p>
    <w:p>
      <w:pPr>
        <w:pStyle w:val="15"/>
        <w:numPr>
          <w:ilvl w:val="0"/>
          <w:numId w:val="4"/>
        </w:numPr>
        <w:wordWrap/>
        <w:spacing w:after="0" w:line="560" w:lineRule="exact"/>
        <w:ind w:firstLineChars="0"/>
        <w:rPr>
          <w:b/>
          <w:bCs/>
        </w:rPr>
      </w:pPr>
      <w:r>
        <w:rPr>
          <w:rFonts w:hint="eastAsia"/>
          <w:b/>
          <w:bCs/>
        </w:rPr>
        <w:t>事实值</w:t>
      </w:r>
    </w:p>
    <w:p>
      <w:pPr>
        <w:pStyle w:val="15"/>
        <w:wordWrap/>
        <w:spacing w:after="0" w:line="560" w:lineRule="exact"/>
      </w:pPr>
      <w:r>
        <w:rPr>
          <w:rFonts w:hint="eastAsia"/>
        </w:rPr>
        <w:t>事实值就是</w:t>
      </w:r>
      <w:r>
        <w:rPr>
          <w:rFonts w:hint="eastAsia"/>
          <w:lang w:eastAsia="zh-CN"/>
        </w:rPr>
        <w:t>数电票（航空运输电子客票行程单）</w:t>
      </w:r>
      <w:r>
        <w:rPr>
          <w:rFonts w:hint="eastAsia"/>
        </w:rPr>
        <w:t>版面信息填写</w:t>
      </w:r>
      <w:r>
        <w:t>的</w:t>
      </w:r>
      <w:r>
        <w:rPr>
          <w:rFonts w:hint="eastAsia"/>
        </w:rPr>
        <w:t>内容，例如对于“金额合计”这个项目，其事实值就是</w:t>
      </w:r>
      <w:r>
        <w:rPr>
          <w:rFonts w:hint="eastAsia"/>
          <w:lang w:eastAsia="zh-CN"/>
        </w:rPr>
        <w:t>数电票（航空运输电子客票行程单）</w:t>
      </w:r>
      <w:r>
        <w:rPr>
          <w:rFonts w:hint="eastAsia"/>
        </w:rPr>
        <w:t>缴费金额信息。通过为元素赋值，并指定上下文、单位和精度属性，来完成对于事实值的完整定义。赋予实例文档的事实值可为数值（金额、十进制数字等）或非数值数据（字符串或者转义文本，例如XHTML格式内容）。事实值也可为日期类型和百分比类型。表</w:t>
      </w:r>
      <w:r>
        <w:t>3</w:t>
      </w:r>
      <w:r>
        <w:rPr>
          <w:rFonts w:hint="eastAsia"/>
        </w:rPr>
        <w:t>列示了部分事实值。</w:t>
      </w:r>
    </w:p>
    <w:p>
      <w:pPr>
        <w:pStyle w:val="15"/>
        <w:wordWrap/>
        <w:spacing w:after="0" w:line="560" w:lineRule="exact"/>
        <w:ind w:firstLine="0" w:firstLineChars="0"/>
        <w:jc w:val="center"/>
        <w:rPr>
          <w:b/>
          <w:sz w:val="24"/>
          <w:szCs w:val="24"/>
        </w:rPr>
      </w:pPr>
      <w:r>
        <w:rPr>
          <w:rFonts w:hint="eastAsia"/>
          <w:b/>
          <w:bCs/>
          <w:sz w:val="24"/>
          <w:szCs w:val="24"/>
        </w:rPr>
        <w:t xml:space="preserve">表 </w:t>
      </w:r>
      <w:r>
        <w:rPr>
          <w:bCs/>
          <w:sz w:val="24"/>
          <w:szCs w:val="24"/>
        </w:rPr>
        <w:fldChar w:fldCharType="begin"/>
      </w:r>
      <w:r>
        <w:rPr>
          <w:bCs/>
          <w:sz w:val="24"/>
          <w:szCs w:val="24"/>
        </w:rPr>
        <w:instrText xml:space="preserve"> </w:instrText>
      </w:r>
      <w:r>
        <w:rPr>
          <w:rFonts w:hint="eastAsia"/>
          <w:bCs/>
          <w:sz w:val="24"/>
          <w:szCs w:val="24"/>
        </w:rPr>
        <w:instrText xml:space="preserve">SEQ 表 \* ARABIC</w:instrText>
      </w:r>
      <w:r>
        <w:rPr>
          <w:bCs/>
          <w:sz w:val="24"/>
          <w:szCs w:val="24"/>
        </w:rPr>
        <w:instrText xml:space="preserve"> </w:instrText>
      </w:r>
      <w:r>
        <w:rPr>
          <w:bCs/>
          <w:sz w:val="24"/>
          <w:szCs w:val="24"/>
        </w:rPr>
        <w:fldChar w:fldCharType="separate"/>
      </w:r>
      <w:r>
        <w:rPr>
          <w:bCs/>
          <w:sz w:val="24"/>
          <w:szCs w:val="24"/>
        </w:rPr>
        <w:t>3</w:t>
      </w:r>
      <w:r>
        <w:rPr>
          <w:bCs/>
          <w:sz w:val="24"/>
          <w:szCs w:val="24"/>
        </w:rPr>
        <w:fldChar w:fldCharType="end"/>
      </w:r>
      <w:r>
        <w:rPr>
          <w:rFonts w:hint="eastAsia"/>
          <w:b/>
          <w:bCs/>
          <w:sz w:val="24"/>
          <w:szCs w:val="24"/>
        </w:rPr>
        <w:t>：</w:t>
      </w:r>
      <w:r>
        <w:rPr>
          <w:rFonts w:hint="eastAsia"/>
          <w:b/>
          <w:sz w:val="24"/>
          <w:szCs w:val="24"/>
        </w:rPr>
        <w:t>事实值举例</w:t>
      </w:r>
    </w:p>
    <w:tbl>
      <w:tblPr>
        <w:tblStyle w:val="8"/>
        <w:tblW w:w="8315"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772"/>
        <w:gridCol w:w="2336"/>
        <w:gridCol w:w="3207"/>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772" w:type="dxa"/>
            <w:shd w:val="clear" w:color="auto" w:fill="auto"/>
            <w:vAlign w:val="center"/>
          </w:tcPr>
          <w:p>
            <w:pPr>
              <w:spacing w:after="0" w:line="560" w:lineRule="exact"/>
              <w:jc w:val="center"/>
              <w:rPr>
                <w:rFonts w:ascii="Times New Roman" w:hAnsi="Times New Roman" w:eastAsia="仿宋_GB2312"/>
                <w:b/>
                <w:color w:val="000000"/>
                <w:sz w:val="24"/>
                <w:szCs w:val="24"/>
              </w:rPr>
            </w:pPr>
            <w:r>
              <w:rPr>
                <w:rFonts w:hint="eastAsia" w:ascii="Times New Roman" w:hAnsi="Times New Roman" w:eastAsia="仿宋_GB2312"/>
                <w:b/>
                <w:color w:val="000000"/>
                <w:sz w:val="24"/>
                <w:szCs w:val="24"/>
                <w:lang w:eastAsia="zh-CN"/>
              </w:rPr>
              <w:t>数电票（航空运输电子客票行程单）</w:t>
            </w:r>
            <w:r>
              <w:rPr>
                <w:rFonts w:hint="eastAsia" w:ascii="Times New Roman" w:hAnsi="Times New Roman" w:eastAsia="仿宋_GB2312"/>
                <w:b/>
                <w:color w:val="000000"/>
                <w:sz w:val="24"/>
                <w:szCs w:val="24"/>
              </w:rPr>
              <w:t>信息项</w:t>
            </w:r>
          </w:p>
        </w:tc>
        <w:tc>
          <w:tcPr>
            <w:tcW w:w="2336" w:type="dxa"/>
            <w:shd w:val="clear" w:color="auto" w:fill="auto"/>
            <w:vAlign w:val="center"/>
          </w:tcPr>
          <w:p>
            <w:pPr>
              <w:spacing w:after="0" w:line="560" w:lineRule="exact"/>
              <w:jc w:val="center"/>
              <w:rPr>
                <w:rFonts w:ascii="Times New Roman" w:hAnsi="Times New Roman" w:eastAsia="仿宋_GB2312"/>
                <w:b/>
                <w:color w:val="000000"/>
                <w:sz w:val="24"/>
                <w:szCs w:val="24"/>
              </w:rPr>
            </w:pPr>
            <w:r>
              <w:rPr>
                <w:rFonts w:hint="eastAsia" w:ascii="Times New Roman" w:hAnsi="Times New Roman" w:eastAsia="仿宋_GB2312"/>
                <w:b/>
                <w:color w:val="000000"/>
                <w:sz w:val="24"/>
                <w:szCs w:val="24"/>
              </w:rPr>
              <w:t>数据类型</w:t>
            </w:r>
          </w:p>
        </w:tc>
        <w:tc>
          <w:tcPr>
            <w:tcW w:w="3207" w:type="dxa"/>
            <w:shd w:val="clear" w:color="auto" w:fill="auto"/>
            <w:vAlign w:val="center"/>
          </w:tcPr>
          <w:p>
            <w:pPr>
              <w:spacing w:after="0" w:line="560" w:lineRule="exact"/>
              <w:jc w:val="center"/>
              <w:rPr>
                <w:rFonts w:ascii="Times New Roman" w:hAnsi="Times New Roman" w:eastAsia="仿宋_GB2312"/>
                <w:b/>
                <w:color w:val="000000"/>
                <w:sz w:val="24"/>
                <w:szCs w:val="24"/>
              </w:rPr>
            </w:pPr>
            <w:r>
              <w:rPr>
                <w:rFonts w:hint="eastAsia" w:ascii="Times New Roman" w:hAnsi="Times New Roman" w:eastAsia="仿宋_GB2312"/>
                <w:b/>
                <w:color w:val="000000"/>
                <w:sz w:val="24"/>
                <w:szCs w:val="24"/>
              </w:rPr>
              <w:t>事实值例举</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772"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金额合计</w:t>
            </w:r>
          </w:p>
        </w:tc>
        <w:tc>
          <w:tcPr>
            <w:tcW w:w="2336"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货币型</w:t>
            </w:r>
          </w:p>
        </w:tc>
        <w:tc>
          <w:tcPr>
            <w:tcW w:w="3207" w:type="dxa"/>
            <w:vAlign w:val="center"/>
          </w:tcPr>
          <w:p>
            <w:pPr>
              <w:spacing w:after="0" w:line="560" w:lineRule="exact"/>
              <w:jc w:val="both"/>
              <w:rPr>
                <w:rFonts w:ascii="Times New Roman" w:hAnsi="Times New Roman" w:eastAsia="仿宋_GB2312"/>
                <w:color w:val="000000"/>
                <w:sz w:val="24"/>
                <w:szCs w:val="24"/>
              </w:rPr>
            </w:pPr>
            <w:r>
              <w:rPr>
                <w:rFonts w:ascii="Times New Roman" w:hAnsi="Times New Roman" w:eastAsia="仿宋_GB2312"/>
                <w:color w:val="000000"/>
                <w:sz w:val="24"/>
                <w:szCs w:val="24"/>
              </w:rPr>
              <w:t>620.00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772"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增值税税率</w:t>
            </w:r>
          </w:p>
        </w:tc>
        <w:tc>
          <w:tcPr>
            <w:tcW w:w="2336"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百分比型</w:t>
            </w:r>
          </w:p>
        </w:tc>
        <w:tc>
          <w:tcPr>
            <w:tcW w:w="3207"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9</w:t>
            </w:r>
            <w:r>
              <w:rPr>
                <w:rFonts w:ascii="Times New Roman" w:hAnsi="Times New Roman" w:eastAsia="仿宋_GB2312"/>
                <w:color w:val="000000"/>
                <w:sz w:val="24"/>
                <w:szCs w:val="24"/>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772"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填开日期</w:t>
            </w:r>
          </w:p>
        </w:tc>
        <w:tc>
          <w:tcPr>
            <w:tcW w:w="2336"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日期型</w:t>
            </w:r>
          </w:p>
        </w:tc>
        <w:tc>
          <w:tcPr>
            <w:tcW w:w="3207"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202</w:t>
            </w:r>
            <w:r>
              <w:rPr>
                <w:rFonts w:ascii="Times New Roman" w:hAnsi="Times New Roman" w:eastAsia="仿宋_GB2312"/>
                <w:color w:val="000000"/>
                <w:sz w:val="24"/>
                <w:szCs w:val="24"/>
              </w:rPr>
              <w:t>1</w:t>
            </w:r>
            <w:r>
              <w:rPr>
                <w:rFonts w:hint="eastAsia" w:ascii="Times New Roman" w:hAnsi="Times New Roman" w:eastAsia="仿宋_GB2312"/>
                <w:color w:val="000000"/>
                <w:sz w:val="24"/>
                <w:szCs w:val="24"/>
              </w:rPr>
              <w:t>-</w:t>
            </w:r>
            <w:r>
              <w:rPr>
                <w:rFonts w:ascii="Times New Roman" w:hAnsi="Times New Roman" w:eastAsia="仿宋_GB2312"/>
                <w:color w:val="000000"/>
                <w:sz w:val="24"/>
                <w:szCs w:val="24"/>
              </w:rPr>
              <w:t>07</w:t>
            </w:r>
            <w:r>
              <w:rPr>
                <w:rFonts w:hint="eastAsia" w:ascii="Times New Roman" w:hAnsi="Times New Roman" w:eastAsia="仿宋_GB2312"/>
                <w:color w:val="000000"/>
                <w:sz w:val="24"/>
                <w:szCs w:val="24"/>
              </w:rPr>
              <w:t>-</w:t>
            </w:r>
            <w:r>
              <w:rPr>
                <w:rFonts w:ascii="Times New Roman" w:hAnsi="Times New Roman" w:eastAsia="仿宋_GB2312"/>
                <w:color w:val="000000"/>
                <w:sz w:val="24"/>
                <w:szCs w:val="24"/>
              </w:rPr>
              <w:t>28</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772"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抵扣税期</w:t>
            </w:r>
          </w:p>
        </w:tc>
        <w:tc>
          <w:tcPr>
            <w:tcW w:w="2336"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年月型</w:t>
            </w:r>
          </w:p>
        </w:tc>
        <w:tc>
          <w:tcPr>
            <w:tcW w:w="3207"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2</w:t>
            </w:r>
            <w:r>
              <w:rPr>
                <w:rFonts w:ascii="Times New Roman" w:hAnsi="Times New Roman" w:eastAsia="仿宋_GB2312"/>
                <w:color w:val="000000"/>
                <w:sz w:val="24"/>
                <w:szCs w:val="24"/>
              </w:rPr>
              <w:t>021-07</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772"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国内国际标识</w:t>
            </w:r>
          </w:p>
        </w:tc>
        <w:tc>
          <w:tcPr>
            <w:tcW w:w="2336"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字符型</w:t>
            </w:r>
          </w:p>
        </w:tc>
        <w:tc>
          <w:tcPr>
            <w:tcW w:w="3207"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国内</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772" w:type="dxa"/>
            <w:vAlign w:val="center"/>
          </w:tcPr>
          <w:p>
            <w:pPr>
              <w:spacing w:after="0" w:line="560" w:lineRule="exact"/>
              <w:jc w:val="both"/>
              <w:rPr>
                <w:rFonts w:ascii="Times New Roman" w:hAnsi="Times New Roman" w:eastAsia="仿宋_GB2312"/>
                <w:color w:val="000000"/>
                <w:sz w:val="24"/>
                <w:szCs w:val="24"/>
              </w:rPr>
            </w:pPr>
            <w:bookmarkStart w:id="0" w:name="_Hlk134791237"/>
            <w:r>
              <w:rPr>
                <w:rFonts w:hint="eastAsia" w:ascii="Times New Roman" w:hAnsi="Times New Roman" w:eastAsia="仿宋_GB2312"/>
                <w:color w:val="000000"/>
                <w:sz w:val="24"/>
                <w:szCs w:val="24"/>
              </w:rPr>
              <w:t>是否红字发票</w:t>
            </w:r>
            <w:bookmarkEnd w:id="0"/>
          </w:p>
        </w:tc>
        <w:tc>
          <w:tcPr>
            <w:tcW w:w="2336"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布尔型</w:t>
            </w:r>
          </w:p>
        </w:tc>
        <w:tc>
          <w:tcPr>
            <w:tcW w:w="3207" w:type="dxa"/>
            <w:vAlign w:val="center"/>
          </w:tcPr>
          <w:p>
            <w:pPr>
              <w:spacing w:after="0" w:line="560" w:lineRule="exact"/>
              <w:jc w:val="both"/>
              <w:rPr>
                <w:rFonts w:ascii="Times New Roman" w:hAnsi="Times New Roman" w:eastAsia="仿宋_GB2312"/>
                <w:color w:val="000000"/>
                <w:sz w:val="24"/>
                <w:szCs w:val="24"/>
              </w:rPr>
            </w:pPr>
            <w:r>
              <w:rPr>
                <w:rFonts w:ascii="Times New Roman" w:hAnsi="Times New Roman" w:eastAsia="仿宋_GB2312"/>
                <w:color w:val="000000"/>
                <w:sz w:val="24"/>
                <w:szCs w:val="24"/>
              </w:rPr>
              <w:t>f</w:t>
            </w:r>
            <w:r>
              <w:rPr>
                <w:rFonts w:hint="eastAsia" w:ascii="Times New Roman" w:hAnsi="Times New Roman" w:eastAsia="仿宋_GB2312"/>
                <w:color w:val="000000"/>
                <w:sz w:val="24"/>
                <w:szCs w:val="24"/>
              </w:rPr>
              <w:t>alse</w:t>
            </w:r>
          </w:p>
        </w:tc>
      </w:tr>
    </w:tbl>
    <w:p>
      <w:pPr>
        <w:pStyle w:val="22"/>
        <w:wordWrap/>
        <w:spacing w:line="560" w:lineRule="exact"/>
        <w:ind w:firstLine="562"/>
        <w:outlineLvl w:val="9"/>
        <w:rPr>
          <w:rFonts w:hint="eastAsia"/>
        </w:rPr>
      </w:pPr>
      <w:r>
        <w:rPr>
          <w:rFonts w:cs="Times New Roman"/>
        </w:rPr>
        <w:t>1</w:t>
      </w:r>
      <w:r>
        <w:rPr>
          <w:rFonts w:hint="eastAsia" w:cs="Times New Roman"/>
        </w:rPr>
        <w:t>．</w:t>
      </w:r>
      <w:r>
        <w:rPr>
          <w:rFonts w:hint="eastAsia"/>
        </w:rPr>
        <w:t>数值型事实值</w:t>
      </w:r>
    </w:p>
    <w:p>
      <w:pPr>
        <w:pStyle w:val="15"/>
        <w:wordWrap/>
        <w:spacing w:after="0" w:line="560" w:lineRule="exact"/>
      </w:pPr>
      <w:r>
        <w:rPr>
          <w:rFonts w:hint="eastAsia"/>
        </w:rPr>
        <w:t>数值型事实值的定义，除了通过contextRef指向一个预定义的上下文（context），还会通过unitRef指向一个预定的单位（unit），并通过事实值的decimals（小数点后位数）属性表达数据的精确度，图</w:t>
      </w:r>
      <w:r>
        <w:t>1</w:t>
      </w:r>
      <w:r>
        <w:rPr>
          <w:rFonts w:hint="eastAsia"/>
        </w:rPr>
        <w:t>是“金额合计”对应的事实值定义信息：</w:t>
      </w:r>
    </w:p>
    <w:tbl>
      <w:tblPr>
        <w:tblStyle w:val="9"/>
        <w:tblW w:w="84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Layout w:type="fixed"/>
        <w:tblCellMar>
          <w:top w:w="0" w:type="dxa"/>
          <w:left w:w="108" w:type="dxa"/>
          <w:bottom w:w="0" w:type="dxa"/>
          <w:right w:w="108" w:type="dxa"/>
        </w:tblCellMar>
      </w:tblPr>
      <w:tblGrid>
        <w:gridCol w:w="84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CellMar>
            <w:top w:w="0" w:type="dxa"/>
            <w:left w:w="108" w:type="dxa"/>
            <w:bottom w:w="0" w:type="dxa"/>
            <w:right w:w="108" w:type="dxa"/>
          </w:tblCellMar>
        </w:tblPrEx>
        <w:trPr>
          <w:jc w:val="center"/>
        </w:trPr>
        <w:tc>
          <w:tcPr>
            <w:tcW w:w="8472" w:type="dxa"/>
            <w:shd w:val="clear" w:color="auto" w:fill="F1F1F1" w:themeFill="background1" w:themeFillShade="F2"/>
          </w:tcPr>
          <w:p>
            <w:pPr>
              <w:pStyle w:val="15"/>
              <w:spacing w:after="312" w:afterLines="100" w:line="560" w:lineRule="exact"/>
              <w:ind w:firstLine="0" w:firstLineChars="0"/>
              <w:rPr>
                <w:sz w:val="24"/>
                <w:szCs w:val="24"/>
              </w:rPr>
            </w:pPr>
            <w:r>
              <w:rPr>
                <w:sz w:val="24"/>
                <w:szCs w:val="24"/>
              </w:rPr>
              <w:t>&lt;atr:TotalAmount decimals="2" contextRef="c1" unitRef="u1"&gt;620.00&lt;/atr:TotalAmount&gt;</w:t>
            </w:r>
          </w:p>
        </w:tc>
      </w:tr>
    </w:tbl>
    <w:p>
      <w:pPr>
        <w:pStyle w:val="15"/>
        <w:wordWrap/>
        <w:spacing w:after="0" w:line="560" w:lineRule="exact"/>
        <w:ind w:firstLine="0" w:firstLineChars="0"/>
        <w:jc w:val="center"/>
        <w:rPr>
          <w:b/>
          <w:sz w:val="24"/>
          <w:szCs w:val="24"/>
        </w:rPr>
      </w:pPr>
      <w:r>
        <w:rPr>
          <w:rFonts w:hint="eastAsia"/>
          <w:b/>
          <w:sz w:val="24"/>
          <w:szCs w:val="24"/>
        </w:rPr>
        <w:t>图</w:t>
      </w:r>
      <w:r>
        <w:rPr>
          <w:b/>
          <w:sz w:val="24"/>
          <w:szCs w:val="24"/>
        </w:rPr>
        <w:t>1</w:t>
      </w:r>
      <w:r>
        <w:rPr>
          <w:rFonts w:hint="eastAsia"/>
          <w:b/>
          <w:sz w:val="24"/>
          <w:szCs w:val="24"/>
        </w:rPr>
        <w:t>：数值型事实值定义方式示例</w:t>
      </w:r>
    </w:p>
    <w:p>
      <w:pPr>
        <w:pStyle w:val="22"/>
        <w:wordWrap/>
        <w:spacing w:line="560" w:lineRule="exact"/>
        <w:ind w:firstLine="562"/>
        <w:outlineLvl w:val="9"/>
        <w:rPr>
          <w:rFonts w:hint="eastAsia" w:eastAsia="仿宋_GB2312"/>
          <w:lang w:eastAsia="zh-CN"/>
        </w:rPr>
      </w:pPr>
      <w:r>
        <w:rPr>
          <w:rFonts w:cs="Times New Roman"/>
        </w:rPr>
        <w:t>2</w:t>
      </w:r>
      <w:r>
        <w:rPr>
          <w:rFonts w:hint="eastAsia" w:cs="Times New Roman"/>
        </w:rPr>
        <w:t>．</w:t>
      </w:r>
      <w:r>
        <w:rPr>
          <w:rFonts w:hint="eastAsia"/>
        </w:rPr>
        <w:t>非数值型事实值</w:t>
      </w:r>
    </w:p>
    <w:p>
      <w:pPr>
        <w:pStyle w:val="15"/>
        <w:wordWrap/>
        <w:spacing w:after="0" w:line="560" w:lineRule="exact"/>
        <w:ind w:firstLine="562" w:firstLineChars="0"/>
      </w:pPr>
      <w:r>
        <w:rPr>
          <w:rFonts w:hint="eastAsia"/>
        </w:rPr>
        <w:t>非数值型事实值的定义，是将事实值赋予给对应的元素名，并通过contextRef指向一个预定义的上下文（context），图</w:t>
      </w:r>
      <w:r>
        <w:t>2</w:t>
      </w:r>
      <w:r>
        <w:rPr>
          <w:rFonts w:hint="eastAsia"/>
        </w:rPr>
        <w:t>为“是否红字发票”对应的事实值定义信息：</w:t>
      </w:r>
    </w:p>
    <w:tbl>
      <w:tblPr>
        <w:tblStyle w:val="9"/>
        <w:tblW w:w="83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Layout w:type="fixed"/>
        <w:tblCellMar>
          <w:top w:w="0" w:type="dxa"/>
          <w:left w:w="108" w:type="dxa"/>
          <w:bottom w:w="0" w:type="dxa"/>
          <w:right w:w="108" w:type="dxa"/>
        </w:tblCellMar>
      </w:tblPr>
      <w:tblGrid>
        <w:gridCol w:w="83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CellMar>
            <w:top w:w="0" w:type="dxa"/>
            <w:left w:w="108" w:type="dxa"/>
            <w:bottom w:w="0" w:type="dxa"/>
            <w:right w:w="108" w:type="dxa"/>
          </w:tblCellMar>
        </w:tblPrEx>
        <w:trPr>
          <w:jc w:val="center"/>
        </w:trPr>
        <w:tc>
          <w:tcPr>
            <w:tcW w:w="8330" w:type="dxa"/>
            <w:shd w:val="clear" w:color="auto" w:fill="F1F1F1" w:themeFill="background1" w:themeFillShade="F2"/>
          </w:tcPr>
          <w:p>
            <w:pPr>
              <w:pStyle w:val="15"/>
              <w:spacing w:after="312" w:afterLines="100" w:line="560" w:lineRule="exact"/>
              <w:ind w:firstLine="0" w:firstLineChars="0"/>
              <w:rPr>
                <w:sz w:val="24"/>
                <w:szCs w:val="24"/>
              </w:rPr>
            </w:pPr>
            <w:r>
              <w:rPr>
                <w:sz w:val="24"/>
                <w:szCs w:val="24"/>
              </w:rPr>
              <w:t>&lt;atr:WhetherInvoiceIsRedInvoice contextRef="c1"&gt;false&lt;/atr:WhetherInvoiceIsRedInvoice&gt;</w:t>
            </w:r>
          </w:p>
        </w:tc>
      </w:tr>
    </w:tbl>
    <w:p>
      <w:pPr>
        <w:pStyle w:val="15"/>
        <w:wordWrap/>
        <w:spacing w:after="0" w:line="560" w:lineRule="exact"/>
        <w:ind w:firstLine="0" w:firstLineChars="0"/>
        <w:jc w:val="center"/>
        <w:rPr>
          <w:b/>
          <w:sz w:val="24"/>
          <w:szCs w:val="24"/>
        </w:rPr>
      </w:pPr>
      <w:r>
        <w:rPr>
          <w:rFonts w:hint="eastAsia"/>
          <w:b/>
          <w:sz w:val="24"/>
          <w:szCs w:val="24"/>
        </w:rPr>
        <w:t>图</w:t>
      </w:r>
      <w:r>
        <w:rPr>
          <w:b/>
          <w:sz w:val="24"/>
          <w:szCs w:val="24"/>
        </w:rPr>
        <w:t>2</w:t>
      </w:r>
      <w:r>
        <w:rPr>
          <w:rFonts w:hint="eastAsia"/>
          <w:b/>
          <w:sz w:val="24"/>
          <w:szCs w:val="24"/>
        </w:rPr>
        <w:t>：非数值型事实值定义方式示例</w:t>
      </w:r>
    </w:p>
    <w:p>
      <w:pPr>
        <w:pStyle w:val="15"/>
        <w:numPr>
          <w:ilvl w:val="0"/>
          <w:numId w:val="4"/>
        </w:numPr>
        <w:wordWrap/>
        <w:spacing w:after="0" w:line="560" w:lineRule="exact"/>
        <w:ind w:firstLineChars="0"/>
        <w:rPr>
          <w:b/>
          <w:bCs/>
        </w:rPr>
      </w:pPr>
      <w:r>
        <w:rPr>
          <w:rFonts w:hint="eastAsia"/>
          <w:b/>
          <w:bCs/>
        </w:rPr>
        <w:t>上下文</w:t>
      </w:r>
    </w:p>
    <w:p>
      <w:pPr>
        <w:pStyle w:val="15"/>
        <w:wordWrap/>
        <w:spacing w:after="0" w:line="560" w:lineRule="exact"/>
        <w:rPr>
          <w:color w:val="000000"/>
          <w:szCs w:val="24"/>
          <w:lang w:val="en-GB"/>
        </w:rPr>
      </w:pPr>
      <w:r>
        <w:rPr>
          <w:rFonts w:hint="eastAsia"/>
        </w:rPr>
        <w:t>每个事实值都会通过contextRef属性赋予的上下文ID指向预定义的上下文（context）。</w:t>
      </w:r>
      <w:r>
        <w:rPr>
          <w:color w:val="000000"/>
          <w:szCs w:val="24"/>
          <w:lang w:val="en-GB"/>
        </w:rPr>
        <w:t>通过指定上下文，才能够确定事实值的具体含义</w:t>
      </w:r>
      <w:r>
        <w:rPr>
          <w:rFonts w:hint="eastAsia"/>
          <w:color w:val="000000"/>
          <w:szCs w:val="24"/>
          <w:lang w:val="en-GB"/>
        </w:rPr>
        <w:t>。</w:t>
      </w:r>
    </w:p>
    <w:p>
      <w:pPr>
        <w:pStyle w:val="15"/>
        <w:wordWrap/>
        <w:spacing w:after="0" w:line="560" w:lineRule="exact"/>
        <w:rPr>
          <w:rFonts w:hint="eastAsia"/>
        </w:rPr>
      </w:pPr>
      <w:r>
        <w:rPr>
          <w:rFonts w:hint="eastAsia"/>
        </w:rPr>
        <w:t>上下文要素包括：实体信息（entity）、时期信息（period）和场景信息（scenario）。在根标签下，使用&lt;xbrli:context&gt;标签定义元素数据的上下文信息，下设子标签&lt;xbrli:entity&gt;、&lt;xbrli:period&gt;、&lt;xbrli:scenario&gt;，用于标记上文所述的实体信息、时期信息和场景信息。</w:t>
      </w:r>
    </w:p>
    <w:p>
      <w:pPr>
        <w:pStyle w:val="22"/>
        <w:keepNext w:val="0"/>
        <w:keepLines w:val="0"/>
        <w:pageBreakBefore w:val="0"/>
        <w:widowControl/>
        <w:numPr>
          <w:ilvl w:val="0"/>
          <w:numId w:val="0"/>
        </w:numPr>
        <w:kinsoku/>
        <w:wordWrap/>
        <w:overflowPunct/>
        <w:topLinePunct w:val="0"/>
        <w:autoSpaceDE/>
        <w:autoSpaceDN/>
        <w:bidi w:val="0"/>
        <w:adjustRightInd/>
        <w:snapToGrid/>
        <w:spacing w:line="560" w:lineRule="exact"/>
        <w:ind w:firstLine="562" w:firstLineChars="200"/>
        <w:textAlignment w:val="auto"/>
        <w:outlineLvl w:val="9"/>
        <w:rPr>
          <w:rFonts w:hint="eastAsia"/>
        </w:rPr>
      </w:pPr>
      <w:r>
        <w:rPr>
          <w:rFonts w:cs="Times New Roman"/>
        </w:rPr>
        <w:t>1</w:t>
      </w:r>
      <w:r>
        <w:rPr>
          <w:rFonts w:hint="eastAsia" w:cs="Times New Roman"/>
        </w:rPr>
        <w:t>．</w:t>
      </w:r>
      <w:r>
        <w:rPr>
          <w:rFonts w:hint="eastAsia"/>
        </w:rPr>
        <w:t>实体信息</w:t>
      </w:r>
    </w:p>
    <w:p>
      <w:pPr>
        <w:pStyle w:val="15"/>
        <w:wordWrap/>
        <w:spacing w:after="0" w:line="560" w:lineRule="exact"/>
      </w:pPr>
      <w:r>
        <w:rPr>
          <w:rFonts w:hint="eastAsia"/>
        </w:rPr>
        <w:t>实体信息即指实例文档数据的发布者信息，使用标签&lt;xbrli:entity&gt;标记。在电子行程单中，开具方实例文档使用填开单位作为唯一标识码，接收方实例文档使用会计主体统一社会信用代码作为实体的唯一标识码，在&lt;xbrli:identifier&gt;标签的文本中标记。</w:t>
      </w:r>
    </w:p>
    <w:p>
      <w:pPr>
        <w:pStyle w:val="22"/>
        <w:keepNext w:val="0"/>
        <w:keepLines w:val="0"/>
        <w:pageBreakBefore w:val="0"/>
        <w:widowControl/>
        <w:numPr>
          <w:ilvl w:val="0"/>
          <w:numId w:val="0"/>
        </w:numPr>
        <w:kinsoku/>
        <w:wordWrap/>
        <w:overflowPunct/>
        <w:topLinePunct w:val="0"/>
        <w:autoSpaceDE/>
        <w:autoSpaceDN/>
        <w:bidi w:val="0"/>
        <w:adjustRightInd/>
        <w:snapToGrid/>
        <w:spacing w:line="560" w:lineRule="exact"/>
        <w:ind w:firstLine="562" w:firstLineChars="200"/>
        <w:textAlignment w:val="auto"/>
        <w:outlineLvl w:val="9"/>
      </w:pPr>
      <w:r>
        <w:rPr>
          <w:rFonts w:hint="eastAsia" w:cs="Times New Roman"/>
          <w:lang w:val="en-US" w:eastAsia="zh-CN"/>
        </w:rPr>
        <w:t>2</w:t>
      </w:r>
      <w:r>
        <w:rPr>
          <w:rFonts w:hint="eastAsia" w:cs="Times New Roman"/>
        </w:rPr>
        <w:t>．</w:t>
      </w:r>
      <w:r>
        <w:rPr>
          <w:rFonts w:hint="eastAsia"/>
        </w:rPr>
        <w:t>时期信息</w:t>
      </w:r>
    </w:p>
    <w:p>
      <w:pPr>
        <w:pStyle w:val="15"/>
        <w:wordWrap/>
        <w:spacing w:after="0" w:line="560" w:lineRule="exact"/>
      </w:pPr>
      <w:r>
        <w:rPr>
          <w:rFonts w:hint="eastAsia"/>
          <w:lang w:val="en-GB"/>
        </w:rPr>
        <w:t>时期信息</w:t>
      </w:r>
      <w:r>
        <w:rPr>
          <w:color w:val="000000"/>
          <w:szCs w:val="24"/>
          <w:lang w:val="en-GB"/>
        </w:rPr>
        <w:t>是指事实值所对应的日期或期间</w:t>
      </w:r>
      <w:r>
        <w:rPr>
          <w:rFonts w:hint="eastAsia"/>
          <w:color w:val="000000"/>
          <w:szCs w:val="24"/>
          <w:lang w:val="en-GB"/>
        </w:rPr>
        <w:t>，</w:t>
      </w:r>
      <w:r>
        <w:rPr>
          <w:rFonts w:hint="eastAsia"/>
        </w:rPr>
        <w:t>使用标签&lt;xbrli:period&gt;标记。在</w:t>
      </w:r>
      <w:r>
        <w:rPr>
          <w:rFonts w:hint="eastAsia"/>
          <w:lang w:eastAsia="zh-CN"/>
        </w:rPr>
        <w:t>数电票（航空运输电子客票行程单）</w:t>
      </w:r>
      <w:r>
        <w:rPr>
          <w:rFonts w:hint="eastAsia"/>
        </w:rPr>
        <w:t>中，期间类型均为时点型，使用&lt;xbrli:instant&gt;标签表示，统一采用yyyy-mm-dd的日期格式。</w:t>
      </w:r>
    </w:p>
    <w:p>
      <w:pPr>
        <w:pStyle w:val="15"/>
        <w:numPr>
          <w:ilvl w:val="0"/>
          <w:numId w:val="4"/>
        </w:numPr>
        <w:wordWrap/>
        <w:spacing w:after="0" w:line="560" w:lineRule="exact"/>
        <w:ind w:firstLineChars="0"/>
        <w:rPr>
          <w:b/>
          <w:bCs/>
        </w:rPr>
      </w:pPr>
      <w:r>
        <w:rPr>
          <w:rFonts w:hint="eastAsia"/>
          <w:b/>
          <w:bCs/>
        </w:rPr>
        <w:t>单位和精确度</w:t>
      </w:r>
    </w:p>
    <w:p>
      <w:pPr>
        <w:pStyle w:val="15"/>
        <w:wordWrap/>
        <w:spacing w:after="0" w:line="560" w:lineRule="exact"/>
      </w:pPr>
      <w:r>
        <w:rPr>
          <w:rFonts w:hint="eastAsia"/>
          <w:lang w:val="en-GB"/>
        </w:rPr>
        <w:t>单位</w:t>
      </w:r>
      <w:r>
        <w:rPr>
          <w:lang w:val="en-GB"/>
        </w:rPr>
        <w:t>是用来说明数值型数据（非字符串及转义文本）的度量单位，最常见的度量单位就是货币型的单位，例如人民币、美元等。数值型数据的事实值应通过</w:t>
      </w:r>
      <w:r>
        <w:rPr>
          <w:rFonts w:hint="eastAsia"/>
          <w:lang w:val="en-GB"/>
        </w:rPr>
        <w:t>单位指向（</w:t>
      </w:r>
      <w:r>
        <w:rPr>
          <w:lang w:val="en-GB"/>
        </w:rPr>
        <w:t>unitRef</w:t>
      </w:r>
      <w:r>
        <w:rPr>
          <w:rFonts w:hint="eastAsia"/>
          <w:lang w:val="en-GB"/>
        </w:rPr>
        <w:t>）</w:t>
      </w:r>
      <w:r>
        <w:rPr>
          <w:lang w:val="en-GB"/>
        </w:rPr>
        <w:t>属性</w:t>
      </w:r>
      <w:r>
        <w:rPr>
          <w:rFonts w:hint="eastAsia"/>
          <w:lang w:val="en-GB"/>
        </w:rPr>
        <w:t>将定义</w:t>
      </w:r>
      <w:r>
        <w:rPr>
          <w:lang w:val="en-GB"/>
        </w:rPr>
        <w:t>的单位ID（</w:t>
      </w:r>
      <w:r>
        <w:rPr>
          <w:rFonts w:hint="eastAsia"/>
          <w:lang w:val="en-GB"/>
        </w:rPr>
        <w:t>u</w:t>
      </w:r>
      <w:r>
        <w:rPr>
          <w:lang w:val="en-GB"/>
        </w:rPr>
        <w:t>nit ID）指向一个预定的单位；对事实值单位的定义同时也指明了事实值的含义，如为货币型元素赋值时，通过单位的定义能够明确金额所代表的币种。</w:t>
      </w:r>
      <w:r>
        <w:rPr>
          <w:rFonts w:hint="eastAsia"/>
        </w:rPr>
        <w:t>表</w:t>
      </w:r>
      <w:r>
        <w:t>4展示了</w:t>
      </w:r>
      <w:r>
        <w:rPr>
          <w:rFonts w:hint="eastAsia"/>
        </w:rPr>
        <w:t>货币型元素常用的</w:t>
      </w:r>
      <w:r>
        <w:t>单位定义。</w:t>
      </w:r>
    </w:p>
    <w:p>
      <w:pPr>
        <w:pStyle w:val="15"/>
        <w:wordWrap/>
        <w:spacing w:after="0" w:line="560" w:lineRule="exact"/>
        <w:ind w:firstLine="0" w:firstLineChars="0"/>
        <w:jc w:val="center"/>
        <w:rPr>
          <w:b/>
          <w:sz w:val="24"/>
          <w:szCs w:val="24"/>
        </w:rPr>
      </w:pPr>
      <w:r>
        <w:rPr>
          <w:rFonts w:hint="eastAsia"/>
          <w:b/>
          <w:bCs/>
          <w:sz w:val="24"/>
          <w:szCs w:val="24"/>
        </w:rPr>
        <w:t xml:space="preserve">表 </w:t>
      </w:r>
      <w:r>
        <w:rPr>
          <w:bCs/>
          <w:sz w:val="24"/>
          <w:szCs w:val="24"/>
        </w:rPr>
        <w:fldChar w:fldCharType="begin"/>
      </w:r>
      <w:r>
        <w:rPr>
          <w:bCs/>
          <w:sz w:val="24"/>
          <w:szCs w:val="24"/>
        </w:rPr>
        <w:instrText xml:space="preserve"> </w:instrText>
      </w:r>
      <w:r>
        <w:rPr>
          <w:rFonts w:hint="eastAsia"/>
          <w:bCs/>
          <w:sz w:val="24"/>
          <w:szCs w:val="24"/>
        </w:rPr>
        <w:instrText xml:space="preserve">SEQ 表 \* ARABIC</w:instrText>
      </w:r>
      <w:r>
        <w:rPr>
          <w:bCs/>
          <w:sz w:val="24"/>
          <w:szCs w:val="24"/>
        </w:rPr>
        <w:instrText xml:space="preserve"> </w:instrText>
      </w:r>
      <w:r>
        <w:rPr>
          <w:bCs/>
          <w:sz w:val="24"/>
          <w:szCs w:val="24"/>
        </w:rPr>
        <w:fldChar w:fldCharType="separate"/>
      </w:r>
      <w:r>
        <w:rPr>
          <w:bCs/>
          <w:sz w:val="24"/>
          <w:szCs w:val="24"/>
        </w:rPr>
        <w:t>4</w:t>
      </w:r>
      <w:r>
        <w:rPr>
          <w:bCs/>
          <w:sz w:val="24"/>
          <w:szCs w:val="24"/>
        </w:rPr>
        <w:fldChar w:fldCharType="end"/>
      </w:r>
      <w:r>
        <w:rPr>
          <w:rFonts w:hint="eastAsia"/>
          <w:b/>
          <w:bCs/>
          <w:sz w:val="24"/>
          <w:szCs w:val="24"/>
        </w:rPr>
        <w:t>：</w:t>
      </w:r>
      <w:r>
        <w:rPr>
          <w:rFonts w:hint="eastAsia"/>
          <w:b/>
          <w:sz w:val="24"/>
          <w:szCs w:val="24"/>
        </w:rPr>
        <w:t>实例文档常用单位定义举例</w:t>
      </w:r>
    </w:p>
    <w:tbl>
      <w:tblPr>
        <w:tblStyle w:val="8"/>
        <w:tblW w:w="8131" w:type="dxa"/>
        <w:jc w:val="center"/>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2498"/>
        <w:gridCol w:w="1897"/>
        <w:gridCol w:w="2303"/>
        <w:gridCol w:w="1433"/>
      </w:tblGrid>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567" w:hRule="atLeast"/>
          <w:tblHeader/>
          <w:jc w:val="center"/>
        </w:trPr>
        <w:tc>
          <w:tcPr>
            <w:tcW w:w="2498" w:type="dxa"/>
            <w:shd w:val="clear" w:color="auto" w:fill="auto"/>
            <w:vAlign w:val="center"/>
          </w:tcPr>
          <w:p>
            <w:pPr>
              <w:spacing w:after="0" w:line="240" w:lineRule="auto"/>
              <w:jc w:val="center"/>
              <w:rPr>
                <w:rFonts w:ascii="Times New Roman" w:hAnsi="Times New Roman" w:eastAsia="仿宋_GB2312"/>
                <w:b/>
                <w:color w:val="000000"/>
                <w:sz w:val="24"/>
                <w:szCs w:val="24"/>
                <w:lang w:val="en-GB"/>
              </w:rPr>
            </w:pPr>
            <w:r>
              <w:rPr>
                <w:rFonts w:hint="eastAsia" w:ascii="Times New Roman" w:hAnsi="Times New Roman" w:eastAsia="仿宋_GB2312"/>
                <w:b/>
                <w:color w:val="000000"/>
                <w:sz w:val="24"/>
                <w:szCs w:val="24"/>
                <w:lang w:val="en-GB"/>
              </w:rPr>
              <w:t>I</w:t>
            </w:r>
            <w:r>
              <w:rPr>
                <w:rFonts w:ascii="Times New Roman" w:hAnsi="Times New Roman" w:eastAsia="仿宋_GB2312"/>
                <w:b/>
                <w:color w:val="000000"/>
                <w:sz w:val="24"/>
                <w:szCs w:val="24"/>
                <w:lang w:val="en-GB"/>
              </w:rPr>
              <w:t>D</w:t>
            </w:r>
          </w:p>
        </w:tc>
        <w:tc>
          <w:tcPr>
            <w:tcW w:w="1897" w:type="dxa"/>
            <w:shd w:val="clear" w:color="auto" w:fill="auto"/>
            <w:vAlign w:val="center"/>
          </w:tcPr>
          <w:p>
            <w:pPr>
              <w:spacing w:after="0" w:line="240" w:lineRule="auto"/>
              <w:jc w:val="center"/>
              <w:rPr>
                <w:rFonts w:ascii="Times New Roman" w:hAnsi="Times New Roman" w:eastAsia="仿宋_GB2312"/>
                <w:b/>
                <w:color w:val="000000"/>
                <w:sz w:val="24"/>
                <w:szCs w:val="24"/>
                <w:lang w:val="en-GB"/>
              </w:rPr>
            </w:pPr>
            <w:r>
              <w:rPr>
                <w:rFonts w:hint="eastAsia" w:ascii="Times New Roman" w:hAnsi="Times New Roman" w:eastAsia="仿宋_GB2312"/>
                <w:b/>
                <w:color w:val="000000"/>
                <w:sz w:val="24"/>
                <w:szCs w:val="24"/>
                <w:lang w:val="en-GB"/>
              </w:rPr>
              <w:t>单位的含义</w:t>
            </w:r>
          </w:p>
        </w:tc>
        <w:tc>
          <w:tcPr>
            <w:tcW w:w="2303" w:type="dxa"/>
            <w:shd w:val="clear" w:color="auto" w:fill="auto"/>
            <w:vAlign w:val="center"/>
          </w:tcPr>
          <w:p>
            <w:pPr>
              <w:spacing w:after="0" w:line="240" w:lineRule="auto"/>
              <w:jc w:val="center"/>
              <w:rPr>
                <w:rFonts w:ascii="Times New Roman" w:hAnsi="Times New Roman" w:eastAsia="仿宋_GB2312"/>
                <w:b/>
                <w:color w:val="000000"/>
                <w:sz w:val="24"/>
                <w:szCs w:val="24"/>
                <w:lang w:val="en-GB"/>
              </w:rPr>
            </w:pPr>
            <w:r>
              <w:rPr>
                <w:rFonts w:hint="eastAsia" w:ascii="Times New Roman" w:hAnsi="Times New Roman" w:eastAsia="仿宋_GB2312"/>
                <w:b/>
                <w:color w:val="000000"/>
                <w:sz w:val="24"/>
                <w:szCs w:val="24"/>
                <w:lang w:val="en-GB"/>
              </w:rPr>
              <w:t>分子</w:t>
            </w:r>
          </w:p>
        </w:tc>
        <w:tc>
          <w:tcPr>
            <w:tcW w:w="1433" w:type="dxa"/>
            <w:shd w:val="clear" w:color="auto" w:fill="auto"/>
            <w:vAlign w:val="center"/>
          </w:tcPr>
          <w:p>
            <w:pPr>
              <w:spacing w:after="0" w:line="240" w:lineRule="auto"/>
              <w:jc w:val="center"/>
              <w:rPr>
                <w:rFonts w:ascii="Times New Roman" w:hAnsi="Times New Roman" w:eastAsia="仿宋_GB2312"/>
                <w:b/>
                <w:color w:val="000000"/>
                <w:sz w:val="24"/>
                <w:szCs w:val="24"/>
                <w:lang w:val="en-GB"/>
              </w:rPr>
            </w:pPr>
            <w:r>
              <w:rPr>
                <w:rFonts w:hint="eastAsia" w:ascii="Times New Roman" w:hAnsi="Times New Roman" w:eastAsia="仿宋_GB2312"/>
                <w:b/>
                <w:color w:val="000000"/>
                <w:sz w:val="24"/>
                <w:szCs w:val="24"/>
                <w:lang w:val="en-GB"/>
              </w:rPr>
              <w:t>分母</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498" w:type="dxa"/>
            <w:vAlign w:val="center"/>
          </w:tcPr>
          <w:p>
            <w:pPr>
              <w:spacing w:after="0" w:line="240" w:lineRule="auto"/>
              <w:jc w:val="both"/>
              <w:rPr>
                <w:rFonts w:ascii="Times New Roman" w:hAnsi="Times New Roman" w:eastAsia="仿宋_GB2312"/>
                <w:color w:val="000000"/>
                <w:sz w:val="24"/>
                <w:szCs w:val="24"/>
                <w:lang w:val="en-GB"/>
              </w:rPr>
            </w:pPr>
            <w:r>
              <w:rPr>
                <w:rFonts w:hint="eastAsia" w:ascii="Times New Roman" w:hAnsi="Times New Roman" w:eastAsia="仿宋_GB2312"/>
                <w:color w:val="000000"/>
                <w:sz w:val="24"/>
                <w:szCs w:val="24"/>
                <w:lang w:val="en-GB"/>
              </w:rPr>
              <w:t>u1</w:t>
            </w:r>
          </w:p>
        </w:tc>
        <w:tc>
          <w:tcPr>
            <w:tcW w:w="1897" w:type="dxa"/>
            <w:vAlign w:val="center"/>
          </w:tcPr>
          <w:p>
            <w:pPr>
              <w:spacing w:after="0" w:line="240" w:lineRule="auto"/>
              <w:jc w:val="both"/>
              <w:rPr>
                <w:rFonts w:ascii="Times New Roman" w:hAnsi="Times New Roman" w:eastAsia="仿宋_GB2312"/>
                <w:color w:val="000000"/>
                <w:sz w:val="24"/>
                <w:szCs w:val="24"/>
                <w:lang w:val="en-GB"/>
              </w:rPr>
            </w:pPr>
            <w:r>
              <w:rPr>
                <w:rFonts w:hint="eastAsia" w:ascii="Times New Roman" w:hAnsi="Times New Roman" w:eastAsia="仿宋_GB2312"/>
                <w:color w:val="000000"/>
                <w:sz w:val="24"/>
                <w:szCs w:val="24"/>
                <w:lang w:val="en-GB"/>
              </w:rPr>
              <w:t>人民币</w:t>
            </w:r>
          </w:p>
        </w:tc>
        <w:tc>
          <w:tcPr>
            <w:tcW w:w="2303" w:type="dxa"/>
            <w:vAlign w:val="center"/>
          </w:tcPr>
          <w:p>
            <w:pPr>
              <w:spacing w:after="0" w:line="240" w:lineRule="auto"/>
              <w:jc w:val="both"/>
              <w:rPr>
                <w:rFonts w:ascii="Times New Roman" w:hAnsi="Times New Roman" w:eastAsia="仿宋_GB2312"/>
                <w:color w:val="000000"/>
                <w:sz w:val="24"/>
                <w:szCs w:val="24"/>
                <w:lang w:val="en-GB"/>
              </w:rPr>
            </w:pPr>
            <w:r>
              <w:rPr>
                <w:rFonts w:ascii="Times New Roman" w:hAnsi="Times New Roman" w:eastAsia="仿宋_GB2312"/>
                <w:color w:val="000000"/>
                <w:sz w:val="24"/>
                <w:szCs w:val="24"/>
                <w:lang w:val="en-GB"/>
              </w:rPr>
              <w:t>iso4217:CNY</w:t>
            </w:r>
          </w:p>
        </w:tc>
        <w:tc>
          <w:tcPr>
            <w:tcW w:w="1433" w:type="dxa"/>
            <w:vAlign w:val="center"/>
          </w:tcPr>
          <w:p>
            <w:pPr>
              <w:spacing w:after="0" w:line="240" w:lineRule="auto"/>
              <w:jc w:val="both"/>
              <w:rPr>
                <w:rFonts w:ascii="Times New Roman" w:hAnsi="Times New Roman" w:eastAsia="仿宋_GB2312"/>
                <w:color w:val="000000"/>
                <w:sz w:val="24"/>
                <w:szCs w:val="24"/>
                <w:lang w:val="en-GB"/>
              </w:rPr>
            </w:pPr>
            <w:r>
              <w:rPr>
                <w:rFonts w:hint="eastAsia" w:ascii="Times New Roman" w:hAnsi="Times New Roman" w:eastAsia="仿宋_GB2312"/>
                <w:color w:val="000000"/>
                <w:sz w:val="24"/>
                <w:szCs w:val="24"/>
                <w:lang w:val="en-GB"/>
              </w:rPr>
              <w:t>不适用</w:t>
            </w:r>
          </w:p>
        </w:tc>
      </w:tr>
    </w:tbl>
    <w:p>
      <w:pPr>
        <w:pStyle w:val="15"/>
        <w:wordWrap/>
        <w:spacing w:after="0" w:line="560" w:lineRule="exact"/>
      </w:pPr>
      <w:r>
        <w:rPr>
          <w:rFonts w:hint="eastAsia"/>
        </w:rPr>
        <w:t>在根标签中，使用&lt;xbrli:unit&gt;标签预定义计量单位，单位的定义方式如图3所示：</w:t>
      </w:r>
    </w:p>
    <w:tbl>
      <w:tblPr>
        <w:tblStyle w:val="9"/>
        <w:tblW w:w="83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Layout w:type="fixed"/>
        <w:tblCellMar>
          <w:top w:w="0" w:type="dxa"/>
          <w:left w:w="108" w:type="dxa"/>
          <w:bottom w:w="0" w:type="dxa"/>
          <w:right w:w="108" w:type="dxa"/>
        </w:tblCellMar>
      </w:tblPr>
      <w:tblGrid>
        <w:gridCol w:w="83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30" w:type="dxa"/>
            <w:shd w:val="clear" w:color="auto" w:fill="F1F1F1" w:themeFill="background1" w:themeFillShade="F2"/>
          </w:tcPr>
          <w:p>
            <w:pPr>
              <w:pStyle w:val="15"/>
              <w:spacing w:after="0" w:line="560" w:lineRule="exact"/>
              <w:ind w:firstLine="0" w:firstLineChars="0"/>
              <w:rPr>
                <w:sz w:val="24"/>
                <w:szCs w:val="24"/>
              </w:rPr>
            </w:pPr>
            <w:r>
              <w:rPr>
                <w:sz w:val="24"/>
                <w:szCs w:val="24"/>
              </w:rPr>
              <w:t>&lt;xbrli:unit id="u1"&gt;</w:t>
            </w:r>
          </w:p>
          <w:p>
            <w:pPr>
              <w:pStyle w:val="15"/>
              <w:spacing w:after="0" w:line="560" w:lineRule="exact"/>
              <w:ind w:firstLine="480"/>
              <w:rPr>
                <w:sz w:val="24"/>
                <w:szCs w:val="24"/>
              </w:rPr>
            </w:pPr>
            <w:r>
              <w:rPr>
                <w:sz w:val="24"/>
                <w:szCs w:val="24"/>
              </w:rPr>
              <w:t>&lt;xbrli:measure&gt;iso4217:CNY&lt;/xbrli:measure&gt;</w:t>
            </w:r>
          </w:p>
          <w:p>
            <w:pPr>
              <w:pStyle w:val="15"/>
              <w:spacing w:after="0" w:line="560" w:lineRule="exact"/>
              <w:ind w:firstLine="0" w:firstLineChars="0"/>
              <w:rPr>
                <w:sz w:val="24"/>
                <w:szCs w:val="24"/>
              </w:rPr>
            </w:pPr>
            <w:r>
              <w:rPr>
                <w:sz w:val="24"/>
                <w:szCs w:val="24"/>
              </w:rPr>
              <w:t>&lt;/xbrli:unit&gt;</w:t>
            </w:r>
          </w:p>
        </w:tc>
      </w:tr>
    </w:tbl>
    <w:p>
      <w:pPr>
        <w:pStyle w:val="15"/>
        <w:wordWrap/>
        <w:spacing w:after="0" w:line="560" w:lineRule="exact"/>
        <w:ind w:firstLine="0" w:firstLineChars="0"/>
        <w:jc w:val="center"/>
        <w:rPr>
          <w:b/>
          <w:sz w:val="24"/>
          <w:szCs w:val="24"/>
        </w:rPr>
      </w:pPr>
      <w:r>
        <w:rPr>
          <w:rFonts w:hint="eastAsia"/>
          <w:b/>
          <w:sz w:val="24"/>
          <w:szCs w:val="24"/>
        </w:rPr>
        <w:t>图</w:t>
      </w:r>
      <w:r>
        <w:rPr>
          <w:b/>
          <w:sz w:val="24"/>
          <w:szCs w:val="24"/>
        </w:rPr>
        <w:t>3</w:t>
      </w:r>
      <w:r>
        <w:rPr>
          <w:rFonts w:hint="eastAsia"/>
          <w:b/>
          <w:sz w:val="24"/>
          <w:szCs w:val="24"/>
        </w:rPr>
        <w:t>：单位信息标记示例</w:t>
      </w:r>
    </w:p>
    <w:p>
      <w:pPr>
        <w:pStyle w:val="15"/>
        <w:wordWrap/>
        <w:spacing w:after="0" w:line="560" w:lineRule="exact"/>
        <w:rPr>
          <w:szCs w:val="28"/>
        </w:rPr>
      </w:pPr>
      <w:r>
        <w:rPr>
          <w:rFonts w:hint="eastAsia"/>
        </w:rPr>
        <w:t>XBRL通过事实值的precision（精确度）或decimal</w:t>
      </w:r>
      <w:r>
        <w:t>s</w:t>
      </w:r>
      <w:r>
        <w:rPr>
          <w:rFonts w:hint="eastAsia"/>
        </w:rPr>
        <w:t>（小数点后位数）属性提供了表达数值型数据精确度的方式，一般使用decimal</w:t>
      </w:r>
      <w:r>
        <w:t>s</w:t>
      </w:r>
      <w:r>
        <w:rPr>
          <w:rFonts w:hint="eastAsia"/>
        </w:rPr>
        <w:t>属性比采用precision属性能够更直观地展示数据的精度。</w:t>
      </w:r>
      <w:r>
        <w:rPr>
          <w:rFonts w:hint="eastAsia"/>
          <w:szCs w:val="28"/>
        </w:rPr>
        <w:t>表</w:t>
      </w:r>
      <w:r>
        <w:rPr>
          <w:szCs w:val="28"/>
        </w:rPr>
        <w:t>5</w:t>
      </w:r>
      <w:r>
        <w:rPr>
          <w:rFonts w:hint="eastAsia"/>
          <w:szCs w:val="28"/>
        </w:rPr>
        <w:t>列示了</w:t>
      </w:r>
      <w:r>
        <w:rPr>
          <w:szCs w:val="28"/>
        </w:rPr>
        <w:t>数值型数据使用decimals属性的例子</w:t>
      </w:r>
      <w:r>
        <w:rPr>
          <w:rFonts w:hint="eastAsia"/>
          <w:szCs w:val="28"/>
        </w:rPr>
        <w:t>。</w:t>
      </w:r>
    </w:p>
    <w:p>
      <w:pPr>
        <w:pStyle w:val="15"/>
        <w:wordWrap/>
        <w:spacing w:after="0" w:line="560" w:lineRule="exact"/>
        <w:ind w:firstLine="0" w:firstLineChars="0"/>
        <w:jc w:val="center"/>
        <w:rPr>
          <w:b/>
          <w:sz w:val="24"/>
          <w:szCs w:val="24"/>
        </w:rPr>
      </w:pPr>
      <w:r>
        <w:rPr>
          <w:rFonts w:hint="eastAsia"/>
          <w:b/>
          <w:bCs/>
          <w:sz w:val="24"/>
          <w:szCs w:val="24"/>
        </w:rPr>
        <w:t xml:space="preserve">表 </w:t>
      </w:r>
      <w:r>
        <w:rPr>
          <w:bCs/>
          <w:sz w:val="24"/>
          <w:szCs w:val="24"/>
        </w:rPr>
        <w:fldChar w:fldCharType="begin"/>
      </w:r>
      <w:r>
        <w:rPr>
          <w:bCs/>
          <w:sz w:val="24"/>
          <w:szCs w:val="24"/>
        </w:rPr>
        <w:instrText xml:space="preserve"> </w:instrText>
      </w:r>
      <w:r>
        <w:rPr>
          <w:rFonts w:hint="eastAsia"/>
          <w:bCs/>
          <w:sz w:val="24"/>
          <w:szCs w:val="24"/>
        </w:rPr>
        <w:instrText xml:space="preserve">SEQ 表 \* ARABIC</w:instrText>
      </w:r>
      <w:r>
        <w:rPr>
          <w:bCs/>
          <w:sz w:val="24"/>
          <w:szCs w:val="24"/>
        </w:rPr>
        <w:instrText xml:space="preserve"> </w:instrText>
      </w:r>
      <w:r>
        <w:rPr>
          <w:bCs/>
          <w:sz w:val="24"/>
          <w:szCs w:val="24"/>
        </w:rPr>
        <w:fldChar w:fldCharType="separate"/>
      </w:r>
      <w:r>
        <w:rPr>
          <w:bCs/>
          <w:sz w:val="24"/>
          <w:szCs w:val="24"/>
        </w:rPr>
        <w:t>5</w:t>
      </w:r>
      <w:r>
        <w:rPr>
          <w:bCs/>
          <w:sz w:val="24"/>
          <w:szCs w:val="24"/>
        </w:rPr>
        <w:fldChar w:fldCharType="end"/>
      </w:r>
      <w:r>
        <w:rPr>
          <w:rFonts w:hint="eastAsia"/>
          <w:b/>
          <w:bCs/>
          <w:sz w:val="24"/>
          <w:szCs w:val="24"/>
        </w:rPr>
        <w:t>：</w:t>
      </w:r>
      <w:r>
        <w:rPr>
          <w:rFonts w:hint="eastAsia"/>
          <w:b/>
          <w:sz w:val="24"/>
          <w:szCs w:val="24"/>
        </w:rPr>
        <w:t>数值型事实值的精确度举例</w:t>
      </w:r>
    </w:p>
    <w:tbl>
      <w:tblPr>
        <w:tblStyle w:val="8"/>
        <w:tblW w:w="8364"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611"/>
        <w:gridCol w:w="3320"/>
        <w:gridCol w:w="2433"/>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0" w:hRule="atLeast"/>
          <w:tblHeader/>
          <w:jc w:val="center"/>
        </w:trPr>
        <w:tc>
          <w:tcPr>
            <w:tcW w:w="2611" w:type="dxa"/>
            <w:vAlign w:val="center"/>
          </w:tcPr>
          <w:p>
            <w:pPr>
              <w:spacing w:after="0" w:line="560" w:lineRule="exact"/>
              <w:jc w:val="center"/>
              <w:rPr>
                <w:rFonts w:ascii="Times New Roman" w:hAnsi="Times New Roman" w:eastAsia="仿宋_GB2312"/>
                <w:b/>
                <w:sz w:val="24"/>
                <w:szCs w:val="24"/>
              </w:rPr>
            </w:pPr>
            <w:r>
              <w:rPr>
                <w:rFonts w:hint="eastAsia" w:ascii="Times New Roman" w:hAnsi="Times New Roman" w:eastAsia="仿宋_GB2312"/>
                <w:b/>
                <w:sz w:val="24"/>
                <w:szCs w:val="24"/>
              </w:rPr>
              <w:t>数值</w:t>
            </w:r>
          </w:p>
        </w:tc>
        <w:tc>
          <w:tcPr>
            <w:tcW w:w="3320" w:type="dxa"/>
            <w:vAlign w:val="center"/>
          </w:tcPr>
          <w:p>
            <w:pPr>
              <w:spacing w:after="0" w:line="560" w:lineRule="exact"/>
              <w:jc w:val="center"/>
              <w:rPr>
                <w:rFonts w:ascii="Times New Roman" w:hAnsi="Times New Roman" w:eastAsia="仿宋_GB2312"/>
                <w:b/>
                <w:sz w:val="24"/>
                <w:szCs w:val="24"/>
              </w:rPr>
            </w:pPr>
            <w:r>
              <w:rPr>
                <w:rFonts w:ascii="Times New Roman" w:hAnsi="Times New Roman" w:eastAsia="仿宋_GB2312"/>
                <w:b/>
                <w:sz w:val="24"/>
                <w:szCs w:val="24"/>
              </w:rPr>
              <w:t>Decimals</w:t>
            </w:r>
            <w:r>
              <w:rPr>
                <w:rFonts w:hint="eastAsia" w:ascii="Times New Roman" w:hAnsi="Times New Roman" w:eastAsia="仿宋_GB2312"/>
                <w:b/>
                <w:sz w:val="24"/>
                <w:szCs w:val="24"/>
              </w:rPr>
              <w:t>取值</w:t>
            </w:r>
          </w:p>
        </w:tc>
        <w:tc>
          <w:tcPr>
            <w:tcW w:w="2433" w:type="dxa"/>
            <w:vAlign w:val="center"/>
          </w:tcPr>
          <w:p>
            <w:pPr>
              <w:spacing w:after="0" w:line="560" w:lineRule="exact"/>
              <w:jc w:val="center"/>
              <w:rPr>
                <w:rFonts w:ascii="Times New Roman" w:hAnsi="Times New Roman" w:eastAsia="仿宋_GB2312"/>
                <w:b/>
                <w:sz w:val="24"/>
                <w:szCs w:val="24"/>
              </w:rPr>
            </w:pPr>
            <w:r>
              <w:rPr>
                <w:rFonts w:hint="eastAsia" w:ascii="Times New Roman" w:hAnsi="Times New Roman" w:eastAsia="仿宋_GB2312"/>
                <w:b/>
                <w:sz w:val="24"/>
                <w:szCs w:val="24"/>
              </w:rPr>
              <w:t>示例</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2611" w:type="dxa"/>
            <w:vAlign w:val="center"/>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精确到千位</w:t>
            </w:r>
          </w:p>
        </w:tc>
        <w:tc>
          <w:tcPr>
            <w:tcW w:w="3320" w:type="dxa"/>
            <w:vAlign w:val="center"/>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-3</w:t>
            </w:r>
          </w:p>
        </w:tc>
        <w:tc>
          <w:tcPr>
            <w:tcW w:w="2433" w:type="dxa"/>
            <w:vAlign w:val="center"/>
          </w:tcPr>
          <w:p>
            <w:pPr>
              <w:spacing w:after="0" w:line="560" w:lineRule="exact"/>
              <w:ind w:right="519" w:rightChars="236"/>
              <w:jc w:val="both"/>
              <w:rPr>
                <w:rFonts w:ascii="Times New Roman" w:hAnsi="Times New Roman" w:eastAsia="仿宋_GB2312"/>
                <w:sz w:val="24"/>
                <w:szCs w:val="24"/>
              </w:rPr>
            </w:pPr>
            <w:r>
              <w:rPr>
                <w:rFonts w:ascii="Times New Roman" w:hAnsi="Times New Roman" w:eastAsia="仿宋_GB2312"/>
                <w:sz w:val="24"/>
                <w:szCs w:val="24"/>
              </w:rPr>
              <w:t>12 000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2611" w:type="dxa"/>
            <w:vAlign w:val="center"/>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精确到百万位</w:t>
            </w:r>
          </w:p>
        </w:tc>
        <w:tc>
          <w:tcPr>
            <w:tcW w:w="3320" w:type="dxa"/>
            <w:vAlign w:val="center"/>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-6</w:t>
            </w:r>
          </w:p>
        </w:tc>
        <w:tc>
          <w:tcPr>
            <w:tcW w:w="2433" w:type="dxa"/>
            <w:vAlign w:val="center"/>
          </w:tcPr>
          <w:p>
            <w:pPr>
              <w:spacing w:after="0" w:line="560" w:lineRule="exact"/>
              <w:ind w:right="519" w:rightChars="236"/>
              <w:jc w:val="both"/>
              <w:rPr>
                <w:rFonts w:ascii="Times New Roman" w:hAnsi="Times New Roman" w:eastAsia="仿宋_GB2312"/>
                <w:sz w:val="24"/>
                <w:szCs w:val="24"/>
              </w:rPr>
            </w:pPr>
            <w:r>
              <w:rPr>
                <w:rFonts w:ascii="Times New Roman" w:hAnsi="Times New Roman" w:eastAsia="仿宋_GB2312"/>
                <w:sz w:val="24"/>
                <w:szCs w:val="24"/>
              </w:rPr>
              <w:t>45 000 000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2611" w:type="dxa"/>
            <w:vAlign w:val="center"/>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精确到</w:t>
            </w:r>
            <w:r>
              <w:rPr>
                <w:rFonts w:ascii="Times New Roman" w:hAnsi="Times New Roman" w:eastAsia="仿宋_GB2312"/>
                <w:sz w:val="24"/>
                <w:szCs w:val="24"/>
              </w:rPr>
              <w:t>2</w:t>
            </w:r>
            <w:r>
              <w:rPr>
                <w:rFonts w:hint="eastAsia" w:ascii="Times New Roman" w:hAnsi="Times New Roman" w:eastAsia="仿宋_GB2312"/>
                <w:sz w:val="24"/>
                <w:szCs w:val="24"/>
              </w:rPr>
              <w:t>位小数</w:t>
            </w:r>
          </w:p>
        </w:tc>
        <w:tc>
          <w:tcPr>
            <w:tcW w:w="3320" w:type="dxa"/>
            <w:vAlign w:val="center"/>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2</w:t>
            </w:r>
          </w:p>
        </w:tc>
        <w:tc>
          <w:tcPr>
            <w:tcW w:w="2433" w:type="dxa"/>
            <w:vAlign w:val="center"/>
          </w:tcPr>
          <w:p>
            <w:pPr>
              <w:spacing w:after="0" w:line="560" w:lineRule="exact"/>
              <w:ind w:right="519" w:rightChars="236"/>
              <w:jc w:val="both"/>
              <w:rPr>
                <w:rFonts w:ascii="Times New Roman" w:hAnsi="Times New Roman" w:eastAsia="仿宋_GB2312"/>
                <w:sz w:val="24"/>
                <w:szCs w:val="24"/>
              </w:rPr>
            </w:pPr>
            <w:r>
              <w:rPr>
                <w:rFonts w:ascii="Times New Roman" w:hAnsi="Times New Roman" w:eastAsia="仿宋_GB2312"/>
                <w:sz w:val="24"/>
                <w:szCs w:val="24"/>
              </w:rPr>
              <w:t>139 034.17</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2611" w:type="dxa"/>
            <w:vAlign w:val="center"/>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精确数字</w:t>
            </w:r>
          </w:p>
        </w:tc>
        <w:tc>
          <w:tcPr>
            <w:tcW w:w="3320" w:type="dxa"/>
            <w:vAlign w:val="center"/>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INF</w:t>
            </w:r>
          </w:p>
        </w:tc>
        <w:tc>
          <w:tcPr>
            <w:tcW w:w="2433" w:type="dxa"/>
            <w:vAlign w:val="center"/>
          </w:tcPr>
          <w:p>
            <w:pPr>
              <w:spacing w:after="0" w:line="560" w:lineRule="exact"/>
              <w:ind w:right="519" w:rightChars="236"/>
              <w:jc w:val="both"/>
              <w:rPr>
                <w:rFonts w:ascii="Times New Roman" w:hAnsi="Times New Roman" w:eastAsia="仿宋_GB2312"/>
                <w:sz w:val="24"/>
                <w:szCs w:val="24"/>
              </w:rPr>
            </w:pPr>
            <w:r>
              <w:rPr>
                <w:rFonts w:ascii="Times New Roman" w:hAnsi="Times New Roman" w:eastAsia="仿宋_GB2312"/>
                <w:sz w:val="24"/>
                <w:szCs w:val="24"/>
              </w:rPr>
              <w:t>1.2645</w:t>
            </w:r>
          </w:p>
        </w:tc>
      </w:tr>
    </w:tbl>
    <w:p>
      <w:pPr>
        <w:pStyle w:val="15"/>
        <w:numPr>
          <w:ilvl w:val="0"/>
          <w:numId w:val="4"/>
        </w:numPr>
        <w:wordWrap/>
        <w:spacing w:after="0" w:line="560" w:lineRule="exact"/>
        <w:ind w:firstLineChars="0"/>
        <w:rPr>
          <w:b/>
          <w:bCs/>
        </w:rPr>
      </w:pPr>
      <w:r>
        <w:rPr>
          <w:rFonts w:hint="eastAsia"/>
          <w:b/>
          <w:bCs/>
        </w:rPr>
        <w:t>实例文档命名规则</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实例文档的命名格式为</w:t>
      </w:r>
      <w:r>
        <w:rPr>
          <w:rFonts w:ascii="Times New Roman" w:hAnsi="Times New Roman" w:eastAsia="仿宋_GB2312"/>
          <w:sz w:val="28"/>
          <w:szCs w:val="28"/>
        </w:rPr>
        <w:t>{</w:t>
      </w:r>
      <w:r>
        <w:rPr>
          <w:rFonts w:hint="eastAsia" w:ascii="Times New Roman" w:hAnsi="Times New Roman" w:eastAsia="仿宋_GB2312"/>
          <w:sz w:val="28"/>
          <w:szCs w:val="28"/>
        </w:rPr>
        <w:t>票据类型简称</w:t>
      </w:r>
      <w:r>
        <w:rPr>
          <w:rFonts w:ascii="Times New Roman" w:hAnsi="Times New Roman" w:eastAsia="仿宋_GB2312"/>
          <w:sz w:val="28"/>
          <w:szCs w:val="28"/>
        </w:rPr>
        <w:t>}_{</w:t>
      </w:r>
      <w:r>
        <w:rPr>
          <w:rFonts w:hint="eastAsia" w:ascii="Times New Roman" w:hAnsi="Times New Roman" w:eastAsia="仿宋_GB2312"/>
          <w:sz w:val="28"/>
          <w:szCs w:val="28"/>
        </w:rPr>
        <w:t>主体</w:t>
      </w:r>
      <w:r>
        <w:rPr>
          <w:rFonts w:ascii="Times New Roman" w:hAnsi="Times New Roman" w:eastAsia="仿宋_GB2312"/>
          <w:sz w:val="28"/>
          <w:szCs w:val="28"/>
        </w:rPr>
        <w:t>}_</w:t>
      </w:r>
      <w:r>
        <w:rPr>
          <w:rFonts w:hint="eastAsia" w:ascii="Times New Roman" w:hAnsi="Times New Roman" w:eastAsia="仿宋_GB2312"/>
          <w:sz w:val="28"/>
          <w:szCs w:val="28"/>
        </w:rPr>
        <w:t>{日期}</w:t>
      </w:r>
      <w:r>
        <w:rPr>
          <w:rFonts w:ascii="Times New Roman" w:hAnsi="Times New Roman" w:eastAsia="仿宋_GB2312"/>
          <w:sz w:val="28"/>
          <w:szCs w:val="28"/>
        </w:rPr>
        <w:t>_{</w:t>
      </w:r>
      <w:r>
        <w:rPr>
          <w:rFonts w:hint="eastAsia" w:ascii="Times New Roman" w:hAnsi="Times New Roman" w:eastAsia="仿宋_GB2312"/>
          <w:sz w:val="28"/>
          <w:szCs w:val="28"/>
        </w:rPr>
        <w:t>票据唯一标识</w:t>
      </w:r>
      <w:r>
        <w:rPr>
          <w:rFonts w:ascii="Times New Roman" w:hAnsi="Times New Roman" w:eastAsia="仿宋_GB2312"/>
          <w:sz w:val="28"/>
          <w:szCs w:val="28"/>
        </w:rPr>
        <w:t>}.{文件后缀}。文件名称各组成部分之间以英文字符</w:t>
      </w:r>
      <w:r>
        <w:rPr>
          <w:rFonts w:hint="eastAsia" w:ascii="Times New Roman" w:hAnsi="Times New Roman" w:eastAsia="仿宋_GB2312"/>
          <w:sz w:val="28"/>
          <w:szCs w:val="28"/>
        </w:rPr>
        <w:t>下划线</w:t>
      </w:r>
      <w:r>
        <w:rPr>
          <w:rFonts w:ascii="Times New Roman" w:hAnsi="Times New Roman" w:eastAsia="仿宋_GB2312"/>
          <w:sz w:val="28"/>
          <w:szCs w:val="28"/>
        </w:rPr>
        <w:t>连接。其中，{</w:t>
      </w:r>
      <w:r>
        <w:rPr>
          <w:rFonts w:hint="eastAsia" w:ascii="Times New Roman" w:hAnsi="Times New Roman" w:eastAsia="仿宋_GB2312"/>
          <w:sz w:val="28"/>
          <w:szCs w:val="28"/>
        </w:rPr>
        <w:t>票据类型简称</w:t>
      </w:r>
      <w:r>
        <w:rPr>
          <w:rFonts w:ascii="Times New Roman" w:hAnsi="Times New Roman" w:eastAsia="仿宋_GB2312"/>
          <w:sz w:val="28"/>
          <w:szCs w:val="28"/>
        </w:rPr>
        <w:t>}</w:t>
      </w:r>
      <w:r>
        <w:rPr>
          <w:rFonts w:hint="eastAsia" w:ascii="Times New Roman" w:hAnsi="Times New Roman" w:eastAsia="仿宋_GB2312"/>
          <w:sz w:val="28"/>
          <w:szCs w:val="28"/>
        </w:rPr>
        <w:t>是</w:t>
      </w:r>
      <w:r>
        <w:rPr>
          <w:rFonts w:ascii="Times New Roman" w:hAnsi="Times New Roman" w:eastAsia="仿宋_GB2312"/>
          <w:sz w:val="28"/>
          <w:szCs w:val="28"/>
        </w:rPr>
        <w:t>atr</w:t>
      </w:r>
      <w:r>
        <w:rPr>
          <w:rFonts w:hint="eastAsia" w:ascii="Times New Roman" w:hAnsi="Times New Roman" w:eastAsia="仿宋_GB2312"/>
          <w:sz w:val="28"/>
          <w:szCs w:val="28"/>
        </w:rPr>
        <w:t>，即标识票据类型是电子客票行程单；</w:t>
      </w:r>
      <w:r>
        <w:rPr>
          <w:rFonts w:ascii="Times New Roman" w:hAnsi="Times New Roman" w:eastAsia="仿宋_GB2312"/>
          <w:sz w:val="28"/>
          <w:szCs w:val="28"/>
        </w:rPr>
        <w:t>{</w:t>
      </w:r>
      <w:r>
        <w:rPr>
          <w:rFonts w:hint="eastAsia" w:ascii="Times New Roman" w:hAnsi="Times New Roman" w:eastAsia="仿宋_GB2312"/>
          <w:sz w:val="28"/>
          <w:szCs w:val="28"/>
        </w:rPr>
        <w:t>主体</w:t>
      </w:r>
      <w:r>
        <w:rPr>
          <w:rFonts w:ascii="Times New Roman" w:hAnsi="Times New Roman" w:eastAsia="仿宋_GB2312"/>
          <w:sz w:val="28"/>
          <w:szCs w:val="28"/>
        </w:rPr>
        <w:t>}</w:t>
      </w:r>
      <w:r>
        <w:rPr>
          <w:rFonts w:hint="eastAsia" w:ascii="Times New Roman" w:hAnsi="Times New Roman" w:eastAsia="仿宋_GB2312"/>
          <w:sz w:val="28"/>
          <w:szCs w:val="28"/>
        </w:rPr>
        <w:t>用于区分实例文档的主体是开具方或接收方；</w:t>
      </w:r>
      <w:r>
        <w:rPr>
          <w:rFonts w:ascii="Times New Roman" w:hAnsi="Times New Roman" w:eastAsia="仿宋_GB2312"/>
          <w:sz w:val="28"/>
          <w:szCs w:val="28"/>
        </w:rPr>
        <w:t>{日期}格式为yyyymmdd</w:t>
      </w:r>
      <w:r>
        <w:rPr>
          <w:rFonts w:hint="eastAsia" w:ascii="Times New Roman" w:hAnsi="Times New Roman" w:eastAsia="仿宋_GB2312"/>
          <w:sz w:val="28"/>
          <w:szCs w:val="28"/>
        </w:rPr>
        <w:t>，对于开具方是填开日期，对于接收方是记账日期；</w:t>
      </w:r>
      <w:r>
        <w:rPr>
          <w:rFonts w:ascii="Times New Roman" w:hAnsi="Times New Roman" w:eastAsia="仿宋_GB2312"/>
          <w:sz w:val="28"/>
          <w:szCs w:val="28"/>
        </w:rPr>
        <w:t>{</w:t>
      </w:r>
      <w:r>
        <w:rPr>
          <w:rFonts w:hint="eastAsia" w:ascii="Times New Roman" w:hAnsi="Times New Roman" w:eastAsia="仿宋_GB2312"/>
          <w:sz w:val="28"/>
          <w:szCs w:val="28"/>
        </w:rPr>
        <w:t>票据唯一标识}是电子客票行程单的唯一标识码，即发票号码；</w:t>
      </w:r>
      <w:r>
        <w:rPr>
          <w:rFonts w:ascii="Times New Roman" w:hAnsi="Times New Roman" w:eastAsia="仿宋_GB2312"/>
          <w:sz w:val="28"/>
          <w:szCs w:val="28"/>
        </w:rPr>
        <w:t>{文件后缀}是</w:t>
      </w:r>
      <w:r>
        <w:rPr>
          <w:rFonts w:hint="eastAsia" w:ascii="Times New Roman" w:hAnsi="Times New Roman" w:eastAsia="仿宋_GB2312"/>
          <w:sz w:val="28"/>
          <w:szCs w:val="28"/>
        </w:rPr>
        <w:t>实例文档</w:t>
      </w:r>
      <w:r>
        <w:rPr>
          <w:rFonts w:ascii="Times New Roman" w:hAnsi="Times New Roman" w:eastAsia="仿宋_GB2312"/>
          <w:sz w:val="28"/>
          <w:szCs w:val="28"/>
        </w:rPr>
        <w:t>的后缀，即xml。</w:t>
      </w:r>
    </w:p>
    <w:p>
      <w:pPr>
        <w:spacing w:after="0"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实例文档命名格式举例</w:t>
      </w:r>
      <w:r>
        <w:rPr>
          <w:rFonts w:hint="eastAsia" w:ascii="Times New Roman" w:hAnsi="Times New Roman" w:eastAsia="仿宋_GB2312"/>
          <w:sz w:val="28"/>
          <w:szCs w:val="28"/>
        </w:rPr>
        <w:t>如下：</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开具方实例文档名称：</w:t>
      </w:r>
      <w:r>
        <w:rPr>
          <w:rFonts w:ascii="Times New Roman" w:hAnsi="Times New Roman" w:eastAsia="仿宋_GB2312"/>
          <w:sz w:val="28"/>
          <w:szCs w:val="28"/>
        </w:rPr>
        <w:t>atr_issuer_yyyymmdd_</w:t>
      </w:r>
      <w:r>
        <w:rPr>
          <w:rFonts w:hint="eastAsia" w:ascii="Times New Roman" w:hAnsi="Times New Roman" w:eastAsia="仿宋_GB2312"/>
          <w:sz w:val="28"/>
          <w:szCs w:val="28"/>
        </w:rPr>
        <w:t>发票号码.</w:t>
      </w:r>
      <w:r>
        <w:rPr>
          <w:rFonts w:ascii="Times New Roman" w:hAnsi="Times New Roman" w:eastAsia="仿宋_GB2312"/>
          <w:sz w:val="28"/>
          <w:szCs w:val="28"/>
        </w:rPr>
        <w:t>xml</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接收方实例文档名称：</w:t>
      </w:r>
      <w:r>
        <w:rPr>
          <w:rFonts w:ascii="Times New Roman" w:hAnsi="Times New Roman" w:eastAsia="仿宋_GB2312"/>
          <w:sz w:val="28"/>
          <w:szCs w:val="28"/>
        </w:rPr>
        <w:t>atr_</w:t>
      </w:r>
      <w:r>
        <w:rPr>
          <w:rFonts w:hint="eastAsia" w:ascii="Times New Roman" w:hAnsi="Times New Roman" w:eastAsia="仿宋_GB2312"/>
          <w:sz w:val="28"/>
          <w:szCs w:val="28"/>
        </w:rPr>
        <w:t>receiver</w:t>
      </w:r>
      <w:r>
        <w:rPr>
          <w:rFonts w:ascii="Times New Roman" w:hAnsi="Times New Roman" w:eastAsia="仿宋_GB2312"/>
          <w:sz w:val="28"/>
          <w:szCs w:val="28"/>
        </w:rPr>
        <w:t>_yyyymmdd_</w:t>
      </w:r>
      <w:r>
        <w:rPr>
          <w:rFonts w:hint="eastAsia" w:ascii="Times New Roman" w:hAnsi="Times New Roman" w:eastAsia="仿宋_GB2312"/>
          <w:sz w:val="28"/>
          <w:szCs w:val="28"/>
        </w:rPr>
        <w:t>发票号码.</w:t>
      </w:r>
      <w:r>
        <w:rPr>
          <w:rFonts w:ascii="Times New Roman" w:hAnsi="Times New Roman" w:eastAsia="仿宋_GB2312"/>
          <w:sz w:val="28"/>
          <w:szCs w:val="28"/>
        </w:rPr>
        <w:t>xml</w:t>
      </w:r>
    </w:p>
    <w:p>
      <w:pPr>
        <w:numPr>
          <w:ilvl w:val="0"/>
          <w:numId w:val="1"/>
        </w:numPr>
        <w:spacing w:after="0" w:line="560" w:lineRule="exact"/>
        <w:outlineLvl w:val="0"/>
        <w:rPr>
          <w:rFonts w:ascii="Times New Roman" w:hAnsi="Times New Roman" w:eastAsia="黑体" w:cs="Times New Roman"/>
          <w:sz w:val="28"/>
          <w:szCs w:val="28"/>
        </w:rPr>
      </w:pPr>
      <w:r>
        <w:rPr>
          <w:rFonts w:hint="eastAsia" w:ascii="Times New Roman" w:hAnsi="Times New Roman" w:eastAsia="黑体" w:cs="Times New Roman"/>
          <w:sz w:val="28"/>
          <w:szCs w:val="28"/>
          <w:lang w:eastAsia="zh-CN"/>
        </w:rPr>
        <w:t>数电票（航空运输电子客票行程单）</w:t>
      </w:r>
      <w:r>
        <w:rPr>
          <w:rFonts w:hint="eastAsia" w:ascii="Times New Roman" w:hAnsi="Times New Roman" w:eastAsia="黑体" w:cs="Times New Roman"/>
          <w:sz w:val="28"/>
          <w:szCs w:val="28"/>
        </w:rPr>
        <w:t>接收方</w:t>
      </w:r>
    </w:p>
    <w:p>
      <w:pPr>
        <w:pStyle w:val="14"/>
        <w:numPr>
          <w:ilvl w:val="0"/>
          <w:numId w:val="5"/>
        </w:numPr>
        <w:wordWrap/>
        <w:spacing w:line="560" w:lineRule="exact"/>
        <w:ind w:firstLine="560"/>
        <w:outlineLvl w:val="1"/>
        <w:rPr>
          <w:rFonts w:ascii="Times New Roman" w:hAnsi="Times New Roman"/>
        </w:rPr>
      </w:pPr>
      <w:r>
        <w:rPr>
          <w:rFonts w:hint="eastAsia" w:ascii="Times New Roman" w:hAnsi="Times New Roman"/>
        </w:rPr>
        <w:t>获取并解析电子凭证航空运输客票行程单，同步标记状态位</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企业、单位的业务人员可通过航空公司或销售代理方提供的官方公开渠道获取电子行程单OFD版式文件，并使用XBRL工具包解析和提取内嵌的XBRL格式的结构化数据信息。</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XBRL标准作为财政部指定的企业会计准则</w:t>
      </w:r>
      <w:r>
        <w:rPr>
          <w:rFonts w:hint="eastAsia" w:ascii="Times New Roman" w:hAnsi="Times New Roman" w:eastAsia="仿宋_GB2312"/>
          <w:sz w:val="28"/>
          <w:szCs w:val="28"/>
          <w:lang w:eastAsia="zh-CN"/>
        </w:rPr>
        <w:t>标准</w:t>
      </w:r>
      <w:r>
        <w:rPr>
          <w:rFonts w:hint="eastAsia" w:ascii="Times New Roman" w:hAnsi="Times New Roman" w:eastAsia="仿宋_GB2312"/>
          <w:sz w:val="28"/>
          <w:szCs w:val="28"/>
        </w:rPr>
        <w:t>，主流财务软件厂商应均已具备解析和生成实例文档的能力。财务软件厂商可根据《航空运输电子客票行程单</w:t>
      </w:r>
      <w:r>
        <w:rPr>
          <w:rFonts w:hint="eastAsia" w:ascii="Times New Roman" w:hAnsi="Times New Roman" w:eastAsia="仿宋_GB2312"/>
          <w:sz w:val="28"/>
          <w:szCs w:val="28"/>
          <w:lang w:eastAsia="zh-CN"/>
        </w:rPr>
        <w:t>标准</w:t>
      </w:r>
      <w:r>
        <w:rPr>
          <w:rFonts w:hint="eastAsia" w:ascii="Times New Roman" w:hAnsi="Times New Roman" w:eastAsia="仿宋_GB2312"/>
          <w:sz w:val="28"/>
          <w:szCs w:val="28"/>
        </w:rPr>
        <w:t>》的要求，使用XBRL工具包解析电子行程单结构化数据并同步标记状态位（包括电子行程单状态信息、会计主体信息和基础会计信息），自动生成标准化的电子行程单业务（对象）数据，直接写入底层数据库或选择生成XBRL格式的实例文档。</w:t>
      </w:r>
    </w:p>
    <w:p>
      <w:pPr>
        <w:pStyle w:val="14"/>
        <w:numPr>
          <w:ilvl w:val="0"/>
          <w:numId w:val="5"/>
        </w:numPr>
        <w:wordWrap/>
        <w:spacing w:line="560" w:lineRule="exact"/>
        <w:ind w:firstLine="560"/>
        <w:outlineLvl w:val="1"/>
        <w:rPr>
          <w:rFonts w:ascii="Times New Roman" w:hAnsi="Times New Roman"/>
        </w:rPr>
      </w:pPr>
      <w:r>
        <w:rPr>
          <w:rFonts w:hint="eastAsia" w:ascii="Times New Roman" w:hAnsi="Times New Roman"/>
        </w:rPr>
        <w:t>自动入账并回写信息</w:t>
      </w:r>
    </w:p>
    <w:p>
      <w:pPr>
        <w:pStyle w:val="22"/>
        <w:ind w:left="440" w:firstLine="0" w:firstLineChars="0"/>
      </w:pPr>
      <w:r>
        <w:rPr>
          <w:rFonts w:hint="eastAsia"/>
        </w:rPr>
        <w:t>1、《航空运输电子客票行程单</w:t>
      </w:r>
      <w:r>
        <w:rPr>
          <w:rFonts w:hint="eastAsia"/>
          <w:lang w:eastAsia="zh-CN"/>
        </w:rPr>
        <w:t>标准</w:t>
      </w:r>
      <w:r>
        <w:rPr>
          <w:rFonts w:hint="eastAsia"/>
        </w:rPr>
        <w:t>》接收方内容架构</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表</w:t>
      </w:r>
      <w:r>
        <w:rPr>
          <w:rFonts w:ascii="Times New Roman" w:hAnsi="Times New Roman" w:eastAsia="仿宋_GB2312"/>
          <w:sz w:val="28"/>
          <w:szCs w:val="28"/>
        </w:rPr>
        <w:t>6</w:t>
      </w:r>
      <w:r>
        <w:rPr>
          <w:rFonts w:hint="eastAsia" w:ascii="Times New Roman" w:hAnsi="Times New Roman" w:eastAsia="仿宋_GB2312"/>
          <w:sz w:val="28"/>
          <w:szCs w:val="28"/>
        </w:rPr>
        <w:t>列示了</w:t>
      </w:r>
      <w:r>
        <w:rPr>
          <w:rFonts w:hint="eastAsia" w:ascii="Times New Roman" w:hAnsi="Times New Roman" w:eastAsia="仿宋_GB2312"/>
          <w:sz w:val="28"/>
          <w:szCs w:val="28"/>
          <w:lang w:eastAsia="zh-CN"/>
        </w:rPr>
        <w:t>标准</w:t>
      </w:r>
      <w:r>
        <w:rPr>
          <w:rFonts w:hint="eastAsia" w:ascii="Times New Roman" w:hAnsi="Times New Roman" w:eastAsia="仿宋_GB2312"/>
          <w:sz w:val="28"/>
          <w:szCs w:val="28"/>
        </w:rPr>
        <w:t>标记的接收方字段。</w:t>
      </w:r>
    </w:p>
    <w:p>
      <w:pPr>
        <w:pStyle w:val="15"/>
        <w:wordWrap/>
        <w:spacing w:after="0" w:line="560" w:lineRule="exact"/>
        <w:ind w:firstLine="0" w:firstLineChars="0"/>
        <w:jc w:val="center"/>
        <w:rPr>
          <w:b/>
          <w:bCs/>
          <w:sz w:val="24"/>
          <w:szCs w:val="24"/>
        </w:rPr>
      </w:pPr>
      <w:r>
        <w:rPr>
          <w:rFonts w:hint="eastAsia"/>
          <w:b/>
          <w:bCs/>
          <w:sz w:val="24"/>
          <w:szCs w:val="24"/>
        </w:rPr>
        <w:t xml:space="preserve">表 </w:t>
      </w:r>
      <w:r>
        <w:rPr>
          <w:bCs/>
          <w:sz w:val="24"/>
          <w:szCs w:val="24"/>
        </w:rPr>
        <w:fldChar w:fldCharType="begin"/>
      </w:r>
      <w:r>
        <w:rPr>
          <w:bCs/>
          <w:sz w:val="24"/>
          <w:szCs w:val="24"/>
        </w:rPr>
        <w:instrText xml:space="preserve"> </w:instrText>
      </w:r>
      <w:r>
        <w:rPr>
          <w:rFonts w:hint="eastAsia"/>
          <w:bCs/>
          <w:sz w:val="24"/>
          <w:szCs w:val="24"/>
        </w:rPr>
        <w:instrText xml:space="preserve">SEQ 表 \* ARABIC</w:instrText>
      </w:r>
      <w:r>
        <w:rPr>
          <w:bCs/>
          <w:sz w:val="24"/>
          <w:szCs w:val="24"/>
        </w:rPr>
        <w:instrText xml:space="preserve"> </w:instrText>
      </w:r>
      <w:r>
        <w:rPr>
          <w:bCs/>
          <w:sz w:val="24"/>
          <w:szCs w:val="24"/>
        </w:rPr>
        <w:fldChar w:fldCharType="separate"/>
      </w:r>
      <w:r>
        <w:rPr>
          <w:bCs/>
          <w:sz w:val="24"/>
          <w:szCs w:val="24"/>
        </w:rPr>
        <w:t>6</w:t>
      </w:r>
      <w:r>
        <w:rPr>
          <w:bCs/>
          <w:sz w:val="24"/>
          <w:szCs w:val="24"/>
        </w:rPr>
        <w:fldChar w:fldCharType="end"/>
      </w:r>
      <w:r>
        <w:rPr>
          <w:rFonts w:hint="eastAsia"/>
          <w:b/>
          <w:bCs/>
          <w:sz w:val="24"/>
          <w:szCs w:val="24"/>
        </w:rPr>
        <w:t>：《航空运输电子客票行程单</w:t>
      </w:r>
      <w:r>
        <w:rPr>
          <w:rFonts w:hint="eastAsia"/>
          <w:b/>
          <w:bCs/>
          <w:sz w:val="24"/>
          <w:szCs w:val="24"/>
          <w:lang w:eastAsia="zh-CN"/>
        </w:rPr>
        <w:t>标准</w:t>
      </w:r>
      <w:r>
        <w:rPr>
          <w:rFonts w:hint="eastAsia"/>
          <w:b/>
          <w:bCs/>
          <w:sz w:val="24"/>
          <w:szCs w:val="24"/>
        </w:rPr>
        <w:t>》（接收方）标记内容</w:t>
      </w:r>
    </w:p>
    <w:tbl>
      <w:tblPr>
        <w:tblStyle w:val="8"/>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1"/>
        <w:gridCol w:w="1276"/>
        <w:gridCol w:w="2551"/>
        <w:gridCol w:w="1276"/>
        <w:gridCol w:w="36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blHeader/>
          <w:jc w:val="center"/>
        </w:trPr>
        <w:tc>
          <w:tcPr>
            <w:tcW w:w="851" w:type="dxa"/>
            <w:shd w:val="clear" w:color="auto" w:fill="auto"/>
            <w:noWrap/>
            <w:vAlign w:val="center"/>
          </w:tcPr>
          <w:p>
            <w:pPr>
              <w:spacing w:after="0" w:line="240" w:lineRule="auto"/>
              <w:jc w:val="center"/>
              <w:rPr>
                <w:rFonts w:ascii="仿宋_GB2312" w:hAnsi="等线" w:eastAsia="仿宋_GB2312" w:cs="宋体"/>
                <w:b/>
                <w:bCs/>
                <w:color w:val="000000"/>
                <w:sz w:val="24"/>
                <w:szCs w:val="24"/>
              </w:rPr>
            </w:pPr>
            <w:r>
              <w:rPr>
                <w:rFonts w:hint="eastAsia" w:ascii="仿宋_GB2312" w:hAnsi="等线" w:eastAsia="仿宋_GB2312" w:cs="宋体"/>
                <w:b/>
                <w:bCs/>
                <w:color w:val="000000"/>
                <w:sz w:val="24"/>
                <w:szCs w:val="24"/>
              </w:rPr>
              <w:t>序号</w:t>
            </w:r>
          </w:p>
        </w:tc>
        <w:tc>
          <w:tcPr>
            <w:tcW w:w="1276" w:type="dxa"/>
            <w:shd w:val="clear" w:color="auto" w:fill="auto"/>
            <w:noWrap/>
            <w:vAlign w:val="center"/>
          </w:tcPr>
          <w:p>
            <w:pPr>
              <w:spacing w:after="0" w:line="240" w:lineRule="auto"/>
              <w:jc w:val="center"/>
              <w:rPr>
                <w:rFonts w:ascii="仿宋_GB2312" w:hAnsi="等线" w:eastAsia="仿宋_GB2312" w:cs="宋体"/>
                <w:b/>
                <w:bCs/>
                <w:color w:val="000000"/>
                <w:sz w:val="24"/>
                <w:szCs w:val="24"/>
              </w:rPr>
            </w:pPr>
            <w:r>
              <w:rPr>
                <w:rFonts w:hint="eastAsia" w:ascii="仿宋_GB2312" w:hAnsi="等线" w:eastAsia="仿宋_GB2312" w:cs="宋体"/>
                <w:b/>
                <w:bCs/>
                <w:color w:val="000000"/>
                <w:sz w:val="24"/>
                <w:szCs w:val="24"/>
              </w:rPr>
              <w:t>分组名称</w:t>
            </w:r>
          </w:p>
        </w:tc>
        <w:tc>
          <w:tcPr>
            <w:tcW w:w="2551" w:type="dxa"/>
            <w:shd w:val="clear" w:color="auto" w:fill="auto"/>
            <w:noWrap/>
            <w:vAlign w:val="center"/>
          </w:tcPr>
          <w:p>
            <w:pPr>
              <w:spacing w:after="0" w:line="240" w:lineRule="auto"/>
              <w:jc w:val="center"/>
              <w:rPr>
                <w:rFonts w:ascii="仿宋_GB2312" w:hAnsi="等线" w:eastAsia="仿宋_GB2312" w:cs="宋体"/>
                <w:b/>
                <w:bCs/>
                <w:color w:val="000000"/>
                <w:sz w:val="24"/>
                <w:szCs w:val="24"/>
              </w:rPr>
            </w:pPr>
            <w:r>
              <w:rPr>
                <w:rFonts w:hint="eastAsia" w:ascii="仿宋_GB2312" w:hAnsi="等线" w:eastAsia="仿宋_GB2312" w:cs="宋体"/>
                <w:b/>
                <w:bCs/>
                <w:color w:val="000000"/>
                <w:sz w:val="24"/>
                <w:szCs w:val="24"/>
              </w:rPr>
              <w:t>字段名称</w:t>
            </w:r>
          </w:p>
        </w:tc>
        <w:tc>
          <w:tcPr>
            <w:tcW w:w="1276" w:type="dxa"/>
            <w:shd w:val="clear" w:color="auto" w:fill="auto"/>
            <w:noWrap/>
            <w:vAlign w:val="center"/>
          </w:tcPr>
          <w:p>
            <w:pPr>
              <w:spacing w:after="0" w:line="240" w:lineRule="auto"/>
              <w:jc w:val="center"/>
              <w:rPr>
                <w:rFonts w:ascii="仿宋_GB2312" w:hAnsi="等线" w:eastAsia="仿宋_GB2312" w:cs="宋体"/>
                <w:b/>
                <w:bCs/>
                <w:color w:val="000000"/>
                <w:sz w:val="24"/>
                <w:szCs w:val="24"/>
              </w:rPr>
            </w:pPr>
            <w:r>
              <w:rPr>
                <w:rFonts w:hint="eastAsia" w:ascii="仿宋_GB2312" w:hAnsi="等线" w:eastAsia="仿宋_GB2312" w:cs="宋体"/>
                <w:b/>
                <w:bCs/>
                <w:color w:val="000000"/>
                <w:sz w:val="24"/>
                <w:szCs w:val="24"/>
              </w:rPr>
              <w:t>数据类型</w:t>
            </w:r>
          </w:p>
        </w:tc>
        <w:tc>
          <w:tcPr>
            <w:tcW w:w="3685" w:type="dxa"/>
            <w:shd w:val="clear" w:color="auto" w:fill="auto"/>
            <w:noWrap/>
            <w:vAlign w:val="center"/>
          </w:tcPr>
          <w:p>
            <w:pPr>
              <w:spacing w:after="0" w:line="240" w:lineRule="auto"/>
              <w:jc w:val="center"/>
              <w:rPr>
                <w:rFonts w:ascii="仿宋_GB2312" w:hAnsi="等线" w:eastAsia="仿宋_GB2312" w:cs="宋体"/>
                <w:b/>
                <w:bCs/>
                <w:color w:val="000000"/>
                <w:sz w:val="24"/>
                <w:szCs w:val="24"/>
              </w:rPr>
            </w:pPr>
            <w:r>
              <w:rPr>
                <w:rFonts w:hint="eastAsia" w:ascii="仿宋_GB2312" w:hAnsi="等线" w:eastAsia="仿宋_GB2312" w:cs="宋体"/>
                <w:b/>
                <w:bCs/>
                <w:color w:val="000000"/>
                <w:sz w:val="24"/>
                <w:szCs w:val="24"/>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1</w:t>
            </w:r>
          </w:p>
        </w:tc>
        <w:tc>
          <w:tcPr>
            <w:tcW w:w="1276" w:type="dxa"/>
            <w:vMerge w:val="restart"/>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lang w:eastAsia="zh-CN"/>
              </w:rPr>
              <w:t>数电票（航空运输电子客票行程单）</w:t>
            </w:r>
            <w:r>
              <w:rPr>
                <w:rFonts w:hint="eastAsia" w:ascii="仿宋_GB2312" w:hAnsi="等线" w:eastAsia="仿宋_GB2312" w:cs="宋体"/>
                <w:color w:val="000000"/>
              </w:rPr>
              <w:t>状态信息</w:t>
            </w: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lang w:eastAsia="zh-CN"/>
              </w:rPr>
              <w:t>数电票（航空运输电子客票行程单）</w:t>
            </w:r>
            <w:r>
              <w:rPr>
                <w:rFonts w:hint="eastAsia" w:ascii="仿宋_GB2312" w:hAnsi="等线" w:eastAsia="仿宋_GB2312" w:cs="宋体"/>
                <w:color w:val="000000"/>
              </w:rPr>
              <w:t>号码</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r>
              <w:rPr>
                <w:rFonts w:ascii="仿宋_GB2312" w:hAnsi="等线" w:eastAsia="仿宋_GB2312" w:cs="宋体"/>
                <w:color w:val="000000"/>
              </w:rPr>
              <w:t>必填项，记录</w:t>
            </w:r>
            <w:r>
              <w:rPr>
                <w:rFonts w:hint="eastAsia" w:ascii="仿宋_GB2312" w:hAnsi="等线" w:eastAsia="仿宋_GB2312" w:cs="宋体"/>
                <w:color w:val="000000"/>
                <w:lang w:eastAsia="zh-CN"/>
              </w:rPr>
              <w:t>数电票（航空运输电子客票行程单）</w:t>
            </w:r>
            <w:r>
              <w:rPr>
                <w:rFonts w:ascii="仿宋_GB2312" w:hAnsi="等线" w:eastAsia="仿宋_GB2312" w:cs="宋体"/>
                <w:color w:val="000000"/>
              </w:rPr>
              <w:t>的唯一标识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2</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票价</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货币型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r>
              <w:rPr>
                <w:rFonts w:ascii="仿宋_GB2312" w:hAnsi="等线" w:eastAsia="仿宋_GB2312" w:cs="宋体"/>
                <w:color w:val="000000"/>
              </w:rPr>
              <w:t>必填项，记录</w:t>
            </w:r>
            <w:r>
              <w:rPr>
                <w:rFonts w:hint="eastAsia" w:ascii="仿宋_GB2312" w:hAnsi="等线" w:eastAsia="仿宋_GB2312" w:cs="宋体"/>
                <w:color w:val="000000"/>
                <w:lang w:eastAsia="zh-CN"/>
              </w:rPr>
              <w:t>数电票（航空运输电子客票行程单）</w:t>
            </w:r>
            <w:r>
              <w:rPr>
                <w:rFonts w:ascii="仿宋_GB2312" w:hAnsi="等线" w:eastAsia="仿宋_GB2312" w:cs="宋体"/>
                <w:color w:val="000000"/>
              </w:rPr>
              <w:t>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3</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填开单位</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r>
              <w:rPr>
                <w:rFonts w:ascii="仿宋_GB2312" w:hAnsi="等线" w:eastAsia="仿宋_GB2312" w:cs="宋体"/>
                <w:color w:val="000000"/>
              </w:rPr>
              <w:t>必填项，记录</w:t>
            </w:r>
            <w:r>
              <w:rPr>
                <w:rFonts w:hint="eastAsia" w:ascii="仿宋_GB2312" w:hAnsi="等线" w:eastAsia="仿宋_GB2312" w:cs="宋体"/>
                <w:color w:val="000000"/>
                <w:lang w:eastAsia="zh-CN"/>
              </w:rPr>
              <w:t>数电票（航空运输电子客票行程单）</w:t>
            </w:r>
            <w:r>
              <w:rPr>
                <w:rFonts w:ascii="仿宋_GB2312" w:hAnsi="等线" w:eastAsia="仿宋_GB2312" w:cs="宋体"/>
                <w:color w:val="000000"/>
              </w:rPr>
              <w:t>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4</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填开日期</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日期型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r>
              <w:rPr>
                <w:rFonts w:ascii="仿宋_GB2312" w:hAnsi="等线" w:eastAsia="仿宋_GB2312" w:cs="宋体"/>
                <w:color w:val="000000"/>
              </w:rPr>
              <w:t>必填项，记录</w:t>
            </w:r>
            <w:r>
              <w:rPr>
                <w:rFonts w:hint="eastAsia" w:ascii="仿宋_GB2312" w:hAnsi="等线" w:eastAsia="仿宋_GB2312" w:cs="宋体"/>
                <w:color w:val="000000"/>
                <w:lang w:eastAsia="zh-CN"/>
              </w:rPr>
              <w:t>数电票（航空运输电子客票行程单）</w:t>
            </w:r>
            <w:bookmarkStart w:id="2" w:name="_GoBack"/>
            <w:bookmarkEnd w:id="2"/>
            <w:r>
              <w:rPr>
                <w:rFonts w:ascii="仿宋_GB2312" w:hAnsi="等线" w:eastAsia="仿宋_GB2312" w:cs="宋体"/>
                <w:color w:val="000000"/>
              </w:rPr>
              <w:t>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5</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是否红字发票</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布尔型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r>
              <w:rPr>
                <w:rFonts w:ascii="仿宋_GB2312" w:hAnsi="等线" w:eastAsia="仿宋_GB2312" w:cs="宋体"/>
                <w:color w:val="000000"/>
              </w:rPr>
              <w:t>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6</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是否已验真</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布尔型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r>
              <w:rPr>
                <w:rFonts w:ascii="仿宋_GB2312" w:hAnsi="等线" w:eastAsia="仿宋_GB2312" w:cs="宋体"/>
                <w:color w:val="000000"/>
              </w:rPr>
              <w:t>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7</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是否已入账</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布尔型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r>
              <w:rPr>
                <w:rFonts w:ascii="仿宋_GB2312" w:hAnsi="等线" w:eastAsia="仿宋_GB2312" w:cs="宋体"/>
                <w:color w:val="000000"/>
              </w:rPr>
              <w:t>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8</w:t>
            </w:r>
          </w:p>
        </w:tc>
        <w:tc>
          <w:tcPr>
            <w:tcW w:w="1276" w:type="dxa"/>
            <w:vMerge w:val="restart"/>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发票抵扣信息</w:t>
            </w: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是否已抵扣</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布尔型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r>
              <w:rPr>
                <w:rFonts w:hint="eastAsia" w:ascii="仿宋_GB2312" w:hAnsi="等线" w:eastAsia="仿宋_GB2312" w:cs="宋体"/>
                <w:color w:val="000000"/>
              </w:rPr>
              <w:t>必填项，记录符合税法抵扣要求的抵扣状态信息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9</w:t>
            </w:r>
          </w:p>
        </w:tc>
        <w:tc>
          <w:tcPr>
            <w:tcW w:w="1276" w:type="dxa"/>
            <w:vMerge w:val="continue"/>
            <w:shd w:val="clear" w:color="auto" w:fill="auto"/>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抵扣税期</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年月型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r>
              <w:rPr>
                <w:rFonts w:hint="eastAsia" w:ascii="仿宋_GB2312" w:hAnsi="等线" w:eastAsia="仿宋_GB2312" w:cs="宋体"/>
                <w:color w:val="000000"/>
              </w:rPr>
              <w:t>必填项，格式为年-月，如2021-12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1</w:t>
            </w:r>
            <w:r>
              <w:rPr>
                <w:rFonts w:ascii="仿宋_GB2312" w:hAnsi="等线" w:eastAsia="仿宋_GB2312" w:cs="宋体"/>
                <w:color w:val="000000"/>
              </w:rPr>
              <w:t>0</w:t>
            </w:r>
          </w:p>
        </w:tc>
        <w:tc>
          <w:tcPr>
            <w:tcW w:w="1276" w:type="dxa"/>
            <w:vMerge w:val="restart"/>
            <w:shd w:val="clear" w:color="auto" w:fill="auto"/>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会计主体信息</w:t>
            </w: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会计主体统一社会信用代码</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r>
              <w:rPr>
                <w:rFonts w:hint="eastAsia" w:ascii="仿宋_GB2312" w:hAnsi="等线" w:eastAsia="仿宋_GB2312" w:cs="宋体"/>
                <w:color w:val="000000"/>
              </w:rPr>
              <w:t>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1</w:t>
            </w:r>
            <w:r>
              <w:rPr>
                <w:rFonts w:ascii="仿宋_GB2312" w:hAnsi="等线" w:eastAsia="仿宋_GB2312" w:cs="宋体"/>
                <w:color w:val="000000"/>
              </w:rPr>
              <w:t>1</w:t>
            </w:r>
          </w:p>
        </w:tc>
        <w:tc>
          <w:tcPr>
            <w:tcW w:w="1276" w:type="dxa"/>
            <w:vMerge w:val="continue"/>
            <w:shd w:val="clear" w:color="auto" w:fill="auto"/>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会计主体名称</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r>
              <w:rPr>
                <w:rFonts w:hint="eastAsia" w:ascii="仿宋_GB2312" w:hAnsi="等线" w:eastAsia="仿宋_GB2312" w:cs="宋体"/>
                <w:color w:val="000000"/>
              </w:rPr>
              <w:t>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1</w:t>
            </w:r>
            <w:r>
              <w:rPr>
                <w:rFonts w:ascii="仿宋_GB2312" w:hAnsi="等线" w:eastAsia="仿宋_GB2312" w:cs="宋体"/>
                <w:color w:val="000000"/>
              </w:rPr>
              <w:t>2</w:t>
            </w:r>
          </w:p>
        </w:tc>
        <w:tc>
          <w:tcPr>
            <w:tcW w:w="1276" w:type="dxa"/>
            <w:vMerge w:val="restart"/>
            <w:shd w:val="clear" w:color="auto" w:fill="auto"/>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记账凭证信息</w:t>
            </w: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记账凭证编号</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r>
              <w:rPr>
                <w:rFonts w:ascii="仿宋_GB2312" w:hAnsi="等线" w:eastAsia="仿宋_GB2312" w:cs="宋体"/>
                <w:color w:val="000000"/>
              </w:rPr>
              <w:t>必填项，记账凭证的唯一标识，用于验证事项入账的唯一性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13</w:t>
            </w:r>
          </w:p>
        </w:tc>
        <w:tc>
          <w:tcPr>
            <w:tcW w:w="1276" w:type="dxa"/>
            <w:vMerge w:val="continue"/>
            <w:shd w:val="clear" w:color="auto" w:fill="auto"/>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记账日期</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日期型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r>
              <w:rPr>
                <w:rFonts w:ascii="仿宋_GB2312" w:hAnsi="等线" w:eastAsia="仿宋_GB2312" w:cs="宋体"/>
                <w:color w:val="000000"/>
              </w:rPr>
              <w:t>必填项，格式为年-月-日，如2021-12-31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14</w:t>
            </w:r>
          </w:p>
        </w:tc>
        <w:tc>
          <w:tcPr>
            <w:tcW w:w="1276" w:type="dxa"/>
            <w:vMerge w:val="continue"/>
            <w:shd w:val="clear" w:color="auto" w:fill="auto"/>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会计期间</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年月型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r>
              <w:rPr>
                <w:rFonts w:ascii="仿宋_GB2312" w:hAnsi="等线" w:eastAsia="仿宋_GB2312" w:cs="宋体"/>
                <w:color w:val="000000"/>
              </w:rPr>
              <w:t>必填项，格式为年-月，如2021-12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15</w:t>
            </w:r>
          </w:p>
        </w:tc>
        <w:tc>
          <w:tcPr>
            <w:tcW w:w="1276" w:type="dxa"/>
            <w:vMerge w:val="continue"/>
            <w:shd w:val="clear" w:color="auto" w:fill="auto"/>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记账凭证摘要</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r>
              <w:rPr>
                <w:rFonts w:ascii="仿宋_GB2312" w:hAnsi="等线" w:eastAsia="仿宋_GB2312" w:cs="宋体"/>
                <w:color w:val="000000"/>
              </w:rPr>
              <w:t>选填项，企业可根据记账凭证实际情况选择回写，若摘要以分录行记录输出，仅记录第一行凭证分录的摘要信息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16</w:t>
            </w:r>
          </w:p>
        </w:tc>
        <w:tc>
          <w:tcPr>
            <w:tcW w:w="1276" w:type="dxa"/>
            <w:vMerge w:val="restart"/>
            <w:shd w:val="clear" w:color="auto" w:fill="auto"/>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借贷方会计信息</w:t>
            </w: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借贷方向</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r>
              <w:rPr>
                <w:rFonts w:ascii="仿宋_GB2312" w:hAnsi="等线" w:eastAsia="仿宋_GB2312" w:cs="宋体"/>
                <w:color w:val="000000"/>
              </w:rPr>
              <w:t>选填项，企业可根据每条会计分录的借贷方向选择回写，填写“借方”或“贷方”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17</w:t>
            </w:r>
          </w:p>
        </w:tc>
        <w:tc>
          <w:tcPr>
            <w:tcW w:w="1276" w:type="dxa"/>
            <w:vMerge w:val="continue"/>
            <w:shd w:val="clear" w:color="auto" w:fill="auto"/>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总账科目名称</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r>
              <w:rPr>
                <w:rFonts w:ascii="仿宋_GB2312" w:hAnsi="等线" w:eastAsia="仿宋_GB2312" w:cs="宋体"/>
                <w:color w:val="000000"/>
              </w:rPr>
              <w:t>选填项，企业可根据每条会计分录回写会计准则约定的统一规范科目名称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18</w:t>
            </w:r>
          </w:p>
        </w:tc>
        <w:tc>
          <w:tcPr>
            <w:tcW w:w="1276" w:type="dxa"/>
            <w:vMerge w:val="continue"/>
            <w:shd w:val="clear" w:color="auto" w:fill="auto"/>
            <w:noWrap/>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明细科目名称</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r>
              <w:rPr>
                <w:rFonts w:ascii="仿宋_GB2312" w:hAnsi="等线" w:eastAsia="仿宋_GB2312" w:cs="宋体"/>
                <w:color w:val="000000"/>
              </w:rPr>
              <w:t>选填项，企业可根据每条会计分录回写准确反映经济业务内容的末级科目或者辅助信息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19</w:t>
            </w:r>
          </w:p>
        </w:tc>
        <w:tc>
          <w:tcPr>
            <w:tcW w:w="1276" w:type="dxa"/>
            <w:vMerge w:val="continue"/>
            <w:shd w:val="clear" w:color="auto" w:fill="auto"/>
            <w:noWrap/>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入账金额</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货币型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r>
              <w:rPr>
                <w:rFonts w:ascii="仿宋_GB2312" w:hAnsi="等线" w:eastAsia="仿宋_GB2312" w:cs="宋体"/>
                <w:color w:val="000000"/>
              </w:rPr>
              <w:t>选填项，企业记录根据科目的本位币入账金额选择回写</w:t>
            </w:r>
          </w:p>
        </w:tc>
      </w:tr>
    </w:tbl>
    <w:p>
      <w:pPr>
        <w:pStyle w:val="22"/>
        <w:ind w:left="440" w:firstLine="0" w:firstLineChars="0"/>
      </w:pPr>
      <w:r>
        <w:rPr>
          <w:rFonts w:hint="eastAsia"/>
        </w:rPr>
        <w:t>2、</w:t>
      </w:r>
      <w:r>
        <w:rPr>
          <w:rFonts w:hint="eastAsia"/>
          <w:lang w:eastAsia="zh-CN"/>
        </w:rPr>
        <w:t>数电票（航空运输电子客票行程单）</w:t>
      </w:r>
      <w:r>
        <w:rPr>
          <w:rFonts w:hint="eastAsia"/>
        </w:rPr>
        <w:t>回写示例</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企业、单位的业务人员在使用电子发票进行报销入账时，财务共享系统能够通过电子发票业务（对象）数据与企业会计凭证的映射关系自动生成凭证。在发票的流转过程中，系统也会将发票状态信息、相关的会计信息和企业所得税信息即时回写到底层数据库或相应实例文档中。以</w:t>
      </w:r>
      <w:r>
        <w:rPr>
          <w:rFonts w:hint="eastAsia" w:ascii="Times New Roman" w:hAnsi="Times New Roman" w:eastAsia="仿宋_GB2312"/>
          <w:sz w:val="28"/>
          <w:szCs w:val="28"/>
          <w:lang w:eastAsia="zh-CN"/>
        </w:rPr>
        <w:t>数电票（航空运输电子客票行程单）</w:t>
      </w:r>
      <w:r>
        <w:rPr>
          <w:rFonts w:hint="eastAsia" w:ascii="Times New Roman" w:hAnsi="Times New Roman" w:eastAsia="仿宋_GB2312"/>
          <w:sz w:val="28"/>
          <w:szCs w:val="28"/>
        </w:rPr>
        <w:t>为例，将对下列信息进行回写。</w:t>
      </w:r>
    </w:p>
    <w:p>
      <w:pPr>
        <w:pStyle w:val="15"/>
        <w:numPr>
          <w:ilvl w:val="0"/>
          <w:numId w:val="6"/>
        </w:numPr>
        <w:wordWrap/>
        <w:spacing w:after="0" w:line="560" w:lineRule="exact"/>
        <w:ind w:firstLineChars="0"/>
        <w:rPr>
          <w:b/>
          <w:bCs/>
          <w:szCs w:val="28"/>
        </w:rPr>
      </w:pPr>
      <w:r>
        <w:rPr>
          <w:rFonts w:hint="eastAsia"/>
          <w:b/>
          <w:bCs/>
          <w:lang w:eastAsia="zh-CN"/>
        </w:rPr>
        <w:t>数电票（航空运输电子客票行程单）</w:t>
      </w:r>
      <w:r>
        <w:rPr>
          <w:rFonts w:hint="eastAsia"/>
          <w:b/>
          <w:bCs/>
          <w:szCs w:val="28"/>
        </w:rPr>
        <w:t>状态信息</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1</w:t>
      </w:r>
      <w:r>
        <w:rPr>
          <w:rFonts w:hint="eastAsia" w:ascii="Times New Roman" w:hAnsi="Times New Roman" w:eastAsia="仿宋_GB2312"/>
          <w:sz w:val="28"/>
          <w:szCs w:val="28"/>
        </w:rPr>
        <w:t>）</w:t>
      </w:r>
      <w:r>
        <w:rPr>
          <w:rFonts w:hint="eastAsia" w:ascii="Times New Roman" w:hAnsi="Times New Roman" w:eastAsia="仿宋_GB2312"/>
          <w:sz w:val="28"/>
          <w:szCs w:val="28"/>
          <w:lang w:eastAsia="zh-CN"/>
        </w:rPr>
        <w:t>数电票（航空运输电子客票行程单）</w:t>
      </w:r>
      <w:r>
        <w:rPr>
          <w:rFonts w:hint="eastAsia" w:ascii="Times New Roman" w:hAnsi="Times New Roman" w:eastAsia="仿宋_GB2312"/>
          <w:sz w:val="28"/>
          <w:szCs w:val="28"/>
        </w:rPr>
        <w:t>号码：</w:t>
      </w:r>
      <w:r>
        <w:rPr>
          <w:rFonts w:ascii="Times New Roman" w:hAnsi="Times New Roman" w:eastAsia="仿宋_GB2312"/>
          <w:sz w:val="28"/>
          <w:szCs w:val="28"/>
        </w:rPr>
        <w:t>12345678901234567890</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（2）票价：</w:t>
      </w:r>
      <w:r>
        <w:rPr>
          <w:rFonts w:ascii="Times New Roman" w:hAnsi="Times New Roman" w:eastAsia="仿宋_GB2312"/>
          <w:sz w:val="28"/>
          <w:szCs w:val="28"/>
        </w:rPr>
        <w:t>477.06</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3</w:t>
      </w:r>
      <w:r>
        <w:rPr>
          <w:rFonts w:hint="eastAsia" w:ascii="Times New Roman" w:hAnsi="Times New Roman" w:eastAsia="仿宋_GB2312"/>
          <w:sz w:val="28"/>
          <w:szCs w:val="28"/>
        </w:rPr>
        <w:t>）填开单位：中国南方航空股份有限公司</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4</w:t>
      </w:r>
      <w:r>
        <w:rPr>
          <w:rFonts w:hint="eastAsia" w:ascii="Times New Roman" w:hAnsi="Times New Roman" w:eastAsia="仿宋_GB2312"/>
          <w:sz w:val="28"/>
          <w:szCs w:val="28"/>
        </w:rPr>
        <w:t>）填开日期：</w:t>
      </w:r>
      <w:r>
        <w:rPr>
          <w:rFonts w:ascii="Times New Roman" w:hAnsi="Times New Roman" w:eastAsia="仿宋_GB2312"/>
          <w:sz w:val="28"/>
          <w:szCs w:val="28"/>
        </w:rPr>
        <w:t>20XX-XX-XX</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5</w:t>
      </w:r>
      <w:r>
        <w:rPr>
          <w:rFonts w:hint="eastAsia" w:ascii="Times New Roman" w:hAnsi="Times New Roman" w:eastAsia="仿宋_GB2312"/>
          <w:sz w:val="28"/>
          <w:szCs w:val="28"/>
        </w:rPr>
        <w:t>）是否红字发票：否</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6</w:t>
      </w:r>
      <w:r>
        <w:rPr>
          <w:rFonts w:hint="eastAsia" w:ascii="Times New Roman" w:hAnsi="Times New Roman" w:eastAsia="仿宋_GB2312"/>
          <w:sz w:val="28"/>
          <w:szCs w:val="28"/>
        </w:rPr>
        <w:t>）是否已验真：是</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7</w:t>
      </w:r>
      <w:r>
        <w:rPr>
          <w:rFonts w:hint="eastAsia" w:ascii="Times New Roman" w:hAnsi="Times New Roman" w:eastAsia="仿宋_GB2312"/>
          <w:sz w:val="28"/>
          <w:szCs w:val="28"/>
        </w:rPr>
        <w:t>）是否已入账：是</w:t>
      </w:r>
    </w:p>
    <w:p>
      <w:pPr>
        <w:pStyle w:val="15"/>
        <w:numPr>
          <w:ilvl w:val="0"/>
          <w:numId w:val="6"/>
        </w:numPr>
        <w:wordWrap/>
        <w:spacing w:after="0" w:line="560" w:lineRule="exact"/>
        <w:ind w:firstLineChars="0"/>
        <w:rPr>
          <w:b/>
          <w:bCs/>
          <w:szCs w:val="28"/>
        </w:rPr>
      </w:pPr>
      <w:r>
        <w:rPr>
          <w:rFonts w:hint="eastAsia"/>
          <w:b/>
        </w:rPr>
        <w:t>发票抵扣</w:t>
      </w:r>
      <w:r>
        <w:rPr>
          <w:rFonts w:hint="eastAsia"/>
          <w:b/>
          <w:bCs/>
          <w:szCs w:val="28"/>
        </w:rPr>
        <w:t>信息</w:t>
      </w:r>
    </w:p>
    <w:p>
      <w:pPr>
        <w:spacing w:after="0" w:line="360" w:lineRule="auto"/>
        <w:ind w:left="56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1</w:t>
      </w:r>
      <w:r>
        <w:rPr>
          <w:rFonts w:hint="eastAsia" w:ascii="Times New Roman" w:hAnsi="Times New Roman" w:eastAsia="仿宋_GB2312"/>
          <w:sz w:val="28"/>
          <w:szCs w:val="28"/>
        </w:rPr>
        <w:t>）是否已抵扣：是</w:t>
      </w:r>
    </w:p>
    <w:p>
      <w:pPr>
        <w:spacing w:after="0" w:line="360" w:lineRule="auto"/>
        <w:ind w:left="56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2</w:t>
      </w:r>
      <w:r>
        <w:rPr>
          <w:rFonts w:hint="eastAsia" w:ascii="Times New Roman" w:hAnsi="Times New Roman" w:eastAsia="仿宋_GB2312"/>
          <w:sz w:val="28"/>
          <w:szCs w:val="28"/>
        </w:rPr>
        <w:t>）抵扣税期：2</w:t>
      </w:r>
      <w:r>
        <w:rPr>
          <w:rFonts w:ascii="Times New Roman" w:hAnsi="Times New Roman" w:eastAsia="仿宋_GB2312"/>
          <w:sz w:val="28"/>
          <w:szCs w:val="28"/>
        </w:rPr>
        <w:t>0XX-XX</w:t>
      </w:r>
    </w:p>
    <w:p>
      <w:pPr>
        <w:pStyle w:val="15"/>
        <w:numPr>
          <w:ilvl w:val="0"/>
          <w:numId w:val="6"/>
        </w:numPr>
        <w:wordWrap/>
        <w:spacing w:after="0" w:line="560" w:lineRule="exact"/>
        <w:ind w:firstLineChars="0"/>
        <w:rPr>
          <w:b/>
          <w:bCs/>
          <w:szCs w:val="28"/>
        </w:rPr>
      </w:pPr>
      <w:r>
        <w:rPr>
          <w:rFonts w:hint="eastAsia"/>
          <w:b/>
          <w:bCs/>
        </w:rPr>
        <w:t>会计</w:t>
      </w:r>
      <w:r>
        <w:rPr>
          <w:rFonts w:hint="eastAsia"/>
          <w:b/>
          <w:bCs/>
          <w:szCs w:val="28"/>
        </w:rPr>
        <w:t>主体信息</w:t>
      </w:r>
    </w:p>
    <w:p>
      <w:pPr>
        <w:pStyle w:val="15"/>
      </w:pPr>
      <w:bookmarkStart w:id="1" w:name="_Hlk82258408"/>
      <w:r>
        <w:rPr>
          <w:rFonts w:hint="eastAsia"/>
        </w:rPr>
        <w:t>（</w:t>
      </w:r>
      <w:r>
        <w:t>1</w:t>
      </w:r>
      <w:r>
        <w:rPr>
          <w:rFonts w:hint="eastAsia"/>
        </w:rPr>
        <w:t>）会计主体统一社会信用代码：</w:t>
      </w:r>
      <w:r>
        <w:t>9111000007311XXXX</w:t>
      </w:r>
    </w:p>
    <w:p>
      <w:pPr>
        <w:pStyle w:val="15"/>
      </w:pPr>
      <w:r>
        <w:rPr>
          <w:rFonts w:hint="eastAsia"/>
        </w:rPr>
        <w:t>（2）会计主体名称：</w:t>
      </w:r>
      <w:r>
        <w:t>ABC</w:t>
      </w:r>
      <w:r>
        <w:rPr>
          <w:rFonts w:hint="eastAsia"/>
        </w:rPr>
        <w:t>公司</w:t>
      </w:r>
    </w:p>
    <w:bookmarkEnd w:id="1"/>
    <w:p>
      <w:pPr>
        <w:pStyle w:val="15"/>
        <w:numPr>
          <w:ilvl w:val="0"/>
          <w:numId w:val="6"/>
        </w:numPr>
        <w:wordWrap/>
        <w:spacing w:after="0" w:line="560" w:lineRule="exact"/>
        <w:ind w:firstLineChars="0"/>
        <w:rPr>
          <w:b/>
          <w:bCs/>
        </w:rPr>
      </w:pPr>
      <w:r>
        <w:rPr>
          <w:rFonts w:hint="eastAsia"/>
          <w:b/>
          <w:bCs/>
        </w:rPr>
        <w:t>基础会计信息</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（1）记账凭证编号：</w:t>
      </w:r>
      <w:r>
        <w:rPr>
          <w:rFonts w:ascii="Times New Roman" w:hAnsi="Times New Roman" w:eastAsia="仿宋_GB2312"/>
          <w:sz w:val="28"/>
          <w:szCs w:val="28"/>
        </w:rPr>
        <w:t>98765678</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（2）记账日期：20</w:t>
      </w:r>
      <w:r>
        <w:rPr>
          <w:rFonts w:ascii="Times New Roman" w:hAnsi="Times New Roman" w:eastAsia="仿宋_GB2312"/>
          <w:sz w:val="28"/>
          <w:szCs w:val="28"/>
        </w:rPr>
        <w:t>21-07-30</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（3）会计期间：20</w:t>
      </w:r>
      <w:r>
        <w:rPr>
          <w:rFonts w:ascii="Times New Roman" w:hAnsi="Times New Roman" w:eastAsia="仿宋_GB2312"/>
          <w:sz w:val="28"/>
          <w:szCs w:val="28"/>
        </w:rPr>
        <w:t>21-07</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（4）记账凭证摘要：</w:t>
      </w:r>
      <w:r>
        <w:rPr>
          <w:rFonts w:ascii="Times New Roman" w:hAnsi="Times New Roman" w:eastAsia="仿宋_GB2312"/>
          <w:sz w:val="28"/>
          <w:szCs w:val="28"/>
        </w:rPr>
        <w:t>XXXXXXX</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5</w:t>
      </w:r>
      <w:r>
        <w:rPr>
          <w:rFonts w:hint="eastAsia" w:ascii="Times New Roman" w:hAnsi="Times New Roman" w:eastAsia="仿宋_GB2312"/>
          <w:sz w:val="28"/>
          <w:szCs w:val="28"/>
        </w:rPr>
        <w:t>）借贷方向：借</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6</w:t>
      </w:r>
      <w:r>
        <w:rPr>
          <w:rFonts w:hint="eastAsia" w:ascii="Times New Roman" w:hAnsi="Times New Roman" w:eastAsia="仿宋_GB2312"/>
          <w:sz w:val="28"/>
          <w:szCs w:val="28"/>
        </w:rPr>
        <w:t>）总账科目名称：在建工程</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7</w:t>
      </w:r>
      <w:r>
        <w:rPr>
          <w:rFonts w:hint="eastAsia" w:ascii="Times New Roman" w:hAnsi="Times New Roman" w:eastAsia="仿宋_GB2312"/>
          <w:sz w:val="28"/>
          <w:szCs w:val="28"/>
        </w:rPr>
        <w:t>）明细科目名称：差旅费</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8</w:t>
      </w:r>
      <w:r>
        <w:rPr>
          <w:rFonts w:hint="eastAsia" w:ascii="Times New Roman" w:hAnsi="Times New Roman" w:eastAsia="仿宋_GB2312"/>
          <w:sz w:val="28"/>
          <w:szCs w:val="28"/>
        </w:rPr>
        <w:t>）入账金额：</w:t>
      </w:r>
      <w:r>
        <w:rPr>
          <w:rFonts w:ascii="Times New Roman" w:hAnsi="Times New Roman" w:eastAsia="仿宋_GB2312"/>
          <w:sz w:val="28"/>
          <w:szCs w:val="28"/>
        </w:rPr>
        <w:t>572.93</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9</w:t>
      </w:r>
      <w:r>
        <w:rPr>
          <w:rFonts w:hint="eastAsia" w:ascii="Times New Roman" w:hAnsi="Times New Roman" w:eastAsia="仿宋_GB2312"/>
          <w:sz w:val="28"/>
          <w:szCs w:val="28"/>
        </w:rPr>
        <w:t>）借贷方向：借</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10</w:t>
      </w:r>
      <w:r>
        <w:rPr>
          <w:rFonts w:hint="eastAsia" w:ascii="Times New Roman" w:hAnsi="Times New Roman" w:eastAsia="仿宋_GB2312"/>
          <w:sz w:val="28"/>
          <w:szCs w:val="28"/>
        </w:rPr>
        <w:t>）总账科目名称：应交税费-应交增值税</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（1</w:t>
      </w:r>
      <w:r>
        <w:rPr>
          <w:rFonts w:ascii="Times New Roman" w:hAnsi="Times New Roman" w:eastAsia="仿宋_GB2312"/>
          <w:sz w:val="28"/>
          <w:szCs w:val="28"/>
        </w:rPr>
        <w:t>1</w:t>
      </w:r>
      <w:r>
        <w:rPr>
          <w:rFonts w:hint="eastAsia" w:ascii="Times New Roman" w:hAnsi="Times New Roman" w:eastAsia="仿宋_GB2312"/>
          <w:sz w:val="28"/>
          <w:szCs w:val="28"/>
        </w:rPr>
        <w:t xml:space="preserve">）明细科目名称：进项税额 </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（1</w:t>
      </w:r>
      <w:r>
        <w:rPr>
          <w:rFonts w:ascii="Times New Roman" w:hAnsi="Times New Roman" w:eastAsia="仿宋_GB2312"/>
          <w:sz w:val="28"/>
          <w:szCs w:val="28"/>
        </w:rPr>
        <w:t>2</w:t>
      </w:r>
      <w:r>
        <w:rPr>
          <w:rFonts w:hint="eastAsia" w:ascii="Times New Roman" w:hAnsi="Times New Roman" w:eastAsia="仿宋_GB2312"/>
          <w:sz w:val="28"/>
          <w:szCs w:val="28"/>
        </w:rPr>
        <w:t>）入账金额：</w:t>
      </w:r>
      <w:r>
        <w:rPr>
          <w:rFonts w:ascii="Times New Roman" w:hAnsi="Times New Roman" w:eastAsia="仿宋_GB2312"/>
          <w:sz w:val="28"/>
          <w:szCs w:val="28"/>
        </w:rPr>
        <w:t>47.07</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13</w:t>
      </w:r>
      <w:r>
        <w:rPr>
          <w:rFonts w:hint="eastAsia" w:ascii="Times New Roman" w:hAnsi="Times New Roman" w:eastAsia="仿宋_GB2312"/>
          <w:sz w:val="28"/>
          <w:szCs w:val="28"/>
        </w:rPr>
        <w:t>）借贷方向：贷</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14</w:t>
      </w:r>
      <w:r>
        <w:rPr>
          <w:rFonts w:hint="eastAsia" w:ascii="Times New Roman" w:hAnsi="Times New Roman" w:eastAsia="仿宋_GB2312"/>
          <w:sz w:val="28"/>
          <w:szCs w:val="28"/>
        </w:rPr>
        <w:t>）总账科目名称：应付账款</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15</w:t>
      </w:r>
      <w:r>
        <w:rPr>
          <w:rFonts w:hint="eastAsia" w:ascii="Times New Roman" w:hAnsi="Times New Roman" w:eastAsia="仿宋_GB2312"/>
          <w:sz w:val="28"/>
          <w:szCs w:val="28"/>
        </w:rPr>
        <w:t>）明细科目名称：其他</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16</w:t>
      </w:r>
      <w:r>
        <w:rPr>
          <w:rFonts w:hint="eastAsia" w:ascii="Times New Roman" w:hAnsi="Times New Roman" w:eastAsia="仿宋_GB2312"/>
          <w:sz w:val="28"/>
          <w:szCs w:val="28"/>
        </w:rPr>
        <w:t>）入账金额：</w:t>
      </w:r>
      <w:r>
        <w:rPr>
          <w:rFonts w:ascii="Times New Roman" w:hAnsi="Times New Roman" w:eastAsia="仿宋_GB2312"/>
          <w:sz w:val="28"/>
          <w:szCs w:val="28"/>
        </w:rPr>
        <w:t>620.00</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考虑到账务处理中经常出现多借多贷的会计分录，在《航空运输电子客票行程单</w:t>
      </w:r>
      <w:r>
        <w:rPr>
          <w:rFonts w:hint="eastAsia" w:ascii="Times New Roman" w:hAnsi="Times New Roman" w:eastAsia="仿宋_GB2312"/>
          <w:sz w:val="28"/>
          <w:szCs w:val="28"/>
          <w:lang w:eastAsia="zh-CN"/>
        </w:rPr>
        <w:t>标准</w:t>
      </w:r>
      <w:r>
        <w:rPr>
          <w:rFonts w:hint="eastAsia" w:ascii="Times New Roman" w:hAnsi="Times New Roman" w:eastAsia="仿宋_GB2312"/>
          <w:sz w:val="28"/>
          <w:szCs w:val="28"/>
        </w:rPr>
        <w:t>》中加入了“借贷方会计信息”这一元组元素，用来增加浮动行针对不确定的分录行进行标记。</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以下列会计分录为例：</w:t>
      </w:r>
    </w:p>
    <w:tbl>
      <w:tblPr>
        <w:tblStyle w:val="9"/>
        <w:tblW w:w="83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Layout w:type="fixed"/>
        <w:tblCellMar>
          <w:top w:w="0" w:type="dxa"/>
          <w:left w:w="108" w:type="dxa"/>
          <w:bottom w:w="0" w:type="dxa"/>
          <w:right w:w="108" w:type="dxa"/>
        </w:tblCellMar>
      </w:tblPr>
      <w:tblGrid>
        <w:gridCol w:w="83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30" w:type="dxa"/>
            <w:shd w:val="clear" w:color="auto" w:fill="F1F1F1" w:themeFill="background1" w:themeFillShade="F2"/>
          </w:tcPr>
          <w:p>
            <w:pPr>
              <w:spacing w:after="0" w:line="360" w:lineRule="auto"/>
              <w:rPr>
                <w:rFonts w:ascii="仿宋_GB2312" w:hAnsi="Times New Roman" w:eastAsia="仿宋_GB2312"/>
                <w:sz w:val="24"/>
                <w:szCs w:val="24"/>
              </w:rPr>
            </w:pPr>
            <w:r>
              <w:rPr>
                <w:rFonts w:hint="eastAsia" w:ascii="仿宋_GB2312" w:hAnsi="Times New Roman" w:eastAsia="仿宋_GB2312"/>
                <w:sz w:val="24"/>
                <w:szCs w:val="24"/>
              </w:rPr>
              <w:t>借：在建工程-差旅费</w:t>
            </w:r>
          </w:p>
          <w:p>
            <w:pPr>
              <w:spacing w:after="0" w:line="360" w:lineRule="auto"/>
              <w:rPr>
                <w:rFonts w:ascii="仿宋_GB2312" w:hAnsi="Times New Roman" w:eastAsia="仿宋_GB2312"/>
                <w:sz w:val="24"/>
                <w:szCs w:val="24"/>
              </w:rPr>
            </w:pPr>
            <w:r>
              <w:rPr>
                <w:rFonts w:ascii="仿宋_GB2312" w:hAnsi="Times New Roman" w:eastAsia="仿宋_GB2312"/>
                <w:sz w:val="24"/>
                <w:szCs w:val="24"/>
              </w:rPr>
              <w:t xml:space="preserve">       </w:t>
            </w:r>
            <w:r>
              <w:rPr>
                <w:rFonts w:hint="eastAsia" w:ascii="仿宋_GB2312" w:hAnsi="Times New Roman" w:eastAsia="仿宋_GB2312"/>
                <w:sz w:val="24"/>
                <w:szCs w:val="24"/>
              </w:rPr>
              <w:t>应交税费-应交增值税-进项税额</w:t>
            </w:r>
          </w:p>
          <w:p>
            <w:pPr>
              <w:spacing w:after="0" w:line="360" w:lineRule="auto"/>
              <w:rPr>
                <w:rFonts w:ascii="仿宋_GB2312" w:hAnsi="Times New Roman" w:eastAsia="仿宋_GB2312"/>
                <w:sz w:val="24"/>
                <w:szCs w:val="24"/>
              </w:rPr>
            </w:pPr>
            <w:r>
              <w:rPr>
                <w:rFonts w:hint="eastAsia" w:ascii="仿宋_GB2312" w:hAnsi="Times New Roman" w:eastAsia="仿宋_GB2312"/>
                <w:sz w:val="24"/>
                <w:szCs w:val="24"/>
              </w:rPr>
              <w:t xml:space="preserve">   贷：应付账款-其他</w:t>
            </w:r>
          </w:p>
        </w:tc>
      </w:tr>
    </w:tbl>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该会计分录的实例文档内容应为：</w:t>
      </w:r>
    </w:p>
    <w:tbl>
      <w:tblPr>
        <w:tblStyle w:val="9"/>
        <w:tblW w:w="8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Layout w:type="fixed"/>
        <w:tblCellMar>
          <w:top w:w="0" w:type="dxa"/>
          <w:left w:w="108" w:type="dxa"/>
          <w:bottom w:w="0" w:type="dxa"/>
          <w:right w:w="108" w:type="dxa"/>
        </w:tblCellMar>
      </w:tblPr>
      <w:tblGrid>
        <w:gridCol w:w="83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CellMar>
            <w:top w:w="0" w:type="dxa"/>
            <w:left w:w="108" w:type="dxa"/>
            <w:bottom w:w="0" w:type="dxa"/>
            <w:right w:w="108" w:type="dxa"/>
          </w:tblCellMar>
        </w:tblPrEx>
        <w:trPr>
          <w:jc w:val="center"/>
        </w:trPr>
        <w:tc>
          <w:tcPr>
            <w:tcW w:w="8359" w:type="dxa"/>
            <w:shd w:val="clear" w:color="auto" w:fill="F1F1F1" w:themeFill="background1" w:themeFillShade="F2"/>
          </w:tcPr>
          <w:p>
            <w:pPr>
              <w:spacing w:after="0" w:line="360" w:lineRule="auto"/>
              <w:rPr>
                <w:rFonts w:ascii="Times New Roman" w:hAnsi="Times New Roman" w:eastAsia="仿宋_GB2312"/>
                <w:sz w:val="24"/>
                <w:szCs w:val="24"/>
              </w:rPr>
            </w:pPr>
            <w:r>
              <w:rPr>
                <w:rFonts w:ascii="Times New Roman" w:hAnsi="Times New Roman" w:eastAsia="仿宋_GB2312"/>
                <w:sz w:val="24"/>
                <w:szCs w:val="24"/>
              </w:rPr>
              <w:t>&lt;atr:InformationOfDebitAndCreditEntryTuple&gt;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&lt;atr:DebitOrCredit contextRef="c1"&gt;借&lt;/atr:DebitOrCredit&gt;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&lt;atr:NameOfGeneralLedgerSubject contextRef="c1"&gt;在建工程&lt;/atr:NameOfGeneralLedgerSubject&gt;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&lt;atr:NameOfSubsidiaryLedgerSubject contextRef="c1"&gt;差旅费&lt;/atr:NameOfSubsidiaryLedgerSubject&gt;</w:t>
            </w:r>
          </w:p>
          <w:p>
            <w:pPr>
              <w:spacing w:after="0" w:line="360" w:lineRule="auto"/>
              <w:rPr>
                <w:rFonts w:ascii="Times New Roman" w:hAnsi="Times New Roman" w:eastAsia="仿宋_GB2312"/>
                <w:sz w:val="24"/>
                <w:szCs w:val="24"/>
              </w:rPr>
            </w:pPr>
            <w:r>
              <w:rPr>
                <w:rFonts w:ascii="Times New Roman" w:hAnsi="Times New Roman" w:eastAsia="仿宋_GB2312"/>
                <w:sz w:val="24"/>
                <w:szCs w:val="24"/>
              </w:rPr>
              <w:t xml:space="preserve">      &lt;atr:RecordedAmount decimals="2" contextRef="c1" unitRef="u1"&gt;572.93&lt;/atr:RecordedAmount&gt;</w:t>
            </w:r>
          </w:p>
          <w:p>
            <w:pPr>
              <w:spacing w:after="0" w:line="360" w:lineRule="auto"/>
              <w:rPr>
                <w:rFonts w:ascii="Times New Roman" w:hAnsi="Times New Roman" w:eastAsia="仿宋_GB2312"/>
                <w:sz w:val="24"/>
                <w:szCs w:val="24"/>
              </w:rPr>
            </w:pPr>
            <w:r>
              <w:rPr>
                <w:rFonts w:ascii="Times New Roman" w:hAnsi="Times New Roman" w:eastAsia="仿宋_GB2312"/>
                <w:sz w:val="24"/>
                <w:szCs w:val="24"/>
              </w:rPr>
              <w:t xml:space="preserve">    &lt;/atr:InformationOfDebitAndCreditEntryTuple&gt;</w:t>
            </w:r>
          </w:p>
          <w:p>
            <w:pPr>
              <w:spacing w:after="0" w:line="360" w:lineRule="auto"/>
              <w:rPr>
                <w:rFonts w:ascii="Times New Roman" w:hAnsi="Times New Roman" w:eastAsia="仿宋_GB2312"/>
                <w:sz w:val="24"/>
                <w:szCs w:val="24"/>
              </w:rPr>
            </w:pPr>
            <w:r>
              <w:rPr>
                <w:rFonts w:ascii="Times New Roman" w:hAnsi="Times New Roman" w:eastAsia="仿宋_GB2312"/>
                <w:sz w:val="24"/>
                <w:szCs w:val="24"/>
              </w:rPr>
              <w:t xml:space="preserve">    &lt;atr:InformationOfDebitAndCreditEntryTuple&gt;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&lt;atr:DebitOrCredit contextRef="c1"&gt;借&lt;/atr:DebitOrCredit&gt;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&lt;atr:NameOfGeneralLedgerSubject contextRef="c1"&gt;应交税费-应交增值税&lt;/atr:NameOfGeneralLedgerSubject&gt;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&lt;atr:NameOfSubsidiaryLedgerSubject contextRef="c1"&gt;进项税额&lt;/atr:NameOfSubsidiaryLedgerSubject&gt;</w:t>
            </w:r>
          </w:p>
          <w:p>
            <w:pPr>
              <w:spacing w:after="0" w:line="360" w:lineRule="auto"/>
              <w:rPr>
                <w:rFonts w:ascii="Times New Roman" w:hAnsi="Times New Roman" w:eastAsia="仿宋_GB2312"/>
                <w:sz w:val="24"/>
                <w:szCs w:val="24"/>
              </w:rPr>
            </w:pPr>
            <w:r>
              <w:rPr>
                <w:rFonts w:ascii="Times New Roman" w:hAnsi="Times New Roman" w:eastAsia="仿宋_GB2312"/>
                <w:sz w:val="24"/>
                <w:szCs w:val="24"/>
              </w:rPr>
              <w:t xml:space="preserve">      &lt;atr:RecordedAmount decimals="2" contextRef="c1" unitRef="u1"&gt;47.07&lt;/atr:RecordedAmount&gt;</w:t>
            </w:r>
          </w:p>
          <w:p>
            <w:pPr>
              <w:spacing w:after="0" w:line="360" w:lineRule="auto"/>
              <w:rPr>
                <w:rFonts w:ascii="Times New Roman" w:hAnsi="Times New Roman" w:eastAsia="仿宋_GB2312"/>
                <w:sz w:val="24"/>
                <w:szCs w:val="24"/>
              </w:rPr>
            </w:pPr>
            <w:r>
              <w:rPr>
                <w:rFonts w:ascii="Times New Roman" w:hAnsi="Times New Roman" w:eastAsia="仿宋_GB2312"/>
                <w:sz w:val="24"/>
                <w:szCs w:val="24"/>
              </w:rPr>
              <w:t xml:space="preserve">    &lt;/atr:InformationOfDebitAndCreditEntryTuple&gt;</w:t>
            </w:r>
          </w:p>
          <w:p>
            <w:pPr>
              <w:spacing w:after="0" w:line="360" w:lineRule="auto"/>
              <w:rPr>
                <w:rFonts w:ascii="Times New Roman" w:hAnsi="Times New Roman" w:eastAsia="仿宋_GB2312"/>
                <w:sz w:val="24"/>
                <w:szCs w:val="24"/>
              </w:rPr>
            </w:pPr>
            <w:r>
              <w:rPr>
                <w:rFonts w:ascii="Times New Roman" w:hAnsi="Times New Roman" w:eastAsia="仿宋_GB2312"/>
                <w:sz w:val="24"/>
                <w:szCs w:val="24"/>
              </w:rPr>
              <w:t xml:space="preserve">    &lt;atr:InformationOfDebitAndCreditEntryTuple&gt;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&lt;atr:DebitOrCredit contextRef="c1"&gt;贷&lt;/atr:DebitOrCredit&gt;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&lt;atr:NameOfGeneralLedgerSubject contextRef="c1"&gt;应付账款&lt;/atr:NameOfGeneralLedgerSubject&gt;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&lt;atr:NameOfSubsidiaryLedgerSubject contextRef="c1"&gt;其他&lt;/atr:NameOfSubsidiaryLedgerSubject&gt;</w:t>
            </w:r>
          </w:p>
          <w:p>
            <w:pPr>
              <w:spacing w:after="0" w:line="360" w:lineRule="auto"/>
              <w:rPr>
                <w:rFonts w:ascii="Times New Roman" w:hAnsi="Times New Roman" w:eastAsia="仿宋_GB2312"/>
                <w:sz w:val="24"/>
                <w:szCs w:val="24"/>
              </w:rPr>
            </w:pPr>
            <w:r>
              <w:rPr>
                <w:rFonts w:ascii="Times New Roman" w:hAnsi="Times New Roman" w:eastAsia="仿宋_GB2312"/>
                <w:sz w:val="24"/>
                <w:szCs w:val="24"/>
              </w:rPr>
              <w:t xml:space="preserve">      &lt;atr:RecordedAmount decimals="2" contextRef="c1" unitRef="u1"&gt;620.00&lt;/atr:RecordedAmount&gt;</w:t>
            </w:r>
          </w:p>
          <w:p>
            <w:pPr>
              <w:spacing w:after="0" w:line="360" w:lineRule="auto"/>
              <w:rPr>
                <w:rFonts w:ascii="Times New Roman" w:hAnsi="Times New Roman" w:eastAsia="仿宋_GB2312"/>
                <w:sz w:val="24"/>
                <w:szCs w:val="24"/>
              </w:rPr>
            </w:pPr>
            <w:r>
              <w:rPr>
                <w:rFonts w:ascii="Times New Roman" w:hAnsi="Times New Roman" w:eastAsia="仿宋_GB2312"/>
                <w:sz w:val="24"/>
                <w:szCs w:val="24"/>
              </w:rPr>
              <w:t xml:space="preserve">    &lt;/atr:InformationOfDebitAndCreditEntryTuple&gt;</w:t>
            </w:r>
          </w:p>
        </w:tc>
      </w:tr>
    </w:tbl>
    <w:p>
      <w:pPr>
        <w:pStyle w:val="14"/>
        <w:numPr>
          <w:ilvl w:val="0"/>
          <w:numId w:val="5"/>
        </w:numPr>
        <w:wordWrap/>
        <w:spacing w:line="560" w:lineRule="exact"/>
        <w:ind w:firstLine="560"/>
        <w:outlineLvl w:val="1"/>
        <w:rPr>
          <w:rFonts w:ascii="Times New Roman" w:hAnsi="Times New Roman"/>
        </w:rPr>
      </w:pPr>
      <w:r>
        <w:rPr>
          <w:rFonts w:hint="eastAsia" w:ascii="Times New Roman" w:hAnsi="Times New Roman"/>
        </w:rPr>
        <w:t>电子凭证航空运输客票行程单入账归档要求</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企业、单位以电子凭证航空运输客票行程单报销、入账、归档的，应当按照《财政部国家档案局关于规范电子会计凭证报销入账归档的通知》（财会〔</w:t>
      </w:r>
      <w:r>
        <w:rPr>
          <w:rFonts w:ascii="Times New Roman" w:hAnsi="Times New Roman" w:eastAsia="仿宋_GB2312"/>
          <w:sz w:val="28"/>
          <w:szCs w:val="28"/>
        </w:rPr>
        <w:t>2020</w:t>
      </w:r>
      <w:r>
        <w:rPr>
          <w:rFonts w:hint="eastAsia" w:ascii="Times New Roman" w:hAnsi="Times New Roman" w:eastAsia="仿宋_GB2312"/>
          <w:sz w:val="28"/>
          <w:szCs w:val="28"/>
        </w:rPr>
        <w:t>〕</w:t>
      </w:r>
      <w:r>
        <w:rPr>
          <w:rFonts w:ascii="Times New Roman" w:hAnsi="Times New Roman" w:eastAsia="仿宋_GB2312"/>
          <w:sz w:val="28"/>
          <w:szCs w:val="28"/>
        </w:rPr>
        <w:t>6</w:t>
      </w:r>
      <w:r>
        <w:rPr>
          <w:rFonts w:hint="eastAsia" w:ascii="Times New Roman" w:hAnsi="Times New Roman" w:eastAsia="仿宋_GB2312"/>
          <w:sz w:val="28"/>
          <w:szCs w:val="28"/>
        </w:rPr>
        <w:t>号）的相关规定执行。实例文档的传输、存储安全可靠，对任何篡改能够及时发现，作为电子凭证，符合《会计档案管理办法》（财政部 国家档案局令第79号）的相关要求。</w:t>
      </w:r>
    </w:p>
    <w:p>
      <w:pPr>
        <w:pStyle w:val="14"/>
        <w:numPr>
          <w:ilvl w:val="0"/>
          <w:numId w:val="5"/>
        </w:numPr>
        <w:wordWrap/>
        <w:spacing w:line="560" w:lineRule="exact"/>
        <w:ind w:firstLine="560"/>
        <w:outlineLvl w:val="1"/>
        <w:rPr>
          <w:rFonts w:ascii="Times New Roman" w:hAnsi="Times New Roman"/>
        </w:rPr>
      </w:pPr>
      <w:r>
        <w:rPr>
          <w:rFonts w:hint="eastAsia" w:ascii="Times New Roman" w:hAnsi="Times New Roman"/>
        </w:rPr>
        <w:t>生成</w:t>
      </w:r>
      <w:r>
        <w:rPr>
          <w:rFonts w:hint="eastAsia" w:ascii="Times New Roman" w:hAnsi="Times New Roman"/>
          <w:lang w:eastAsia="zh-CN"/>
        </w:rPr>
        <w:t>数电票（航空运输电子客票行程单）</w:t>
      </w:r>
      <w:r>
        <w:rPr>
          <w:rFonts w:hint="eastAsia" w:ascii="Times New Roman" w:hAnsi="Times New Roman"/>
        </w:rPr>
        <w:t>实例文档数据进行归档备查</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会计期间结束后，企业、单位需按照财政部的监管要求，结合XBRL</w:t>
      </w:r>
      <w:r>
        <w:rPr>
          <w:rFonts w:hint="eastAsia" w:ascii="Times New Roman" w:hAnsi="Times New Roman" w:eastAsia="仿宋_GB2312"/>
          <w:sz w:val="28"/>
          <w:szCs w:val="28"/>
          <w:lang w:eastAsia="zh-CN"/>
        </w:rPr>
        <w:t>标准</w:t>
      </w:r>
      <w:r>
        <w:rPr>
          <w:rFonts w:hint="eastAsia" w:ascii="Times New Roman" w:hAnsi="Times New Roman" w:eastAsia="仿宋_GB2312"/>
          <w:sz w:val="28"/>
          <w:szCs w:val="28"/>
        </w:rPr>
        <w:t>，使用XBRL工具包生成包含完整电子行程单信息（包括电子行程单票面信息、行程单状态信息、会计主体信息、基础会计信息）的XBRL格式实例文档，并按照会计档案管理的相关要求进行归档，以备财政部相关监管部门查验。</w:t>
      </w:r>
    </w:p>
    <w:sectPr>
      <w:pgSz w:w="11906" w:h="16838"/>
      <w:pgMar w:top="1440" w:right="1306" w:bottom="1440" w:left="92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华文中宋">
    <w:altName w:val="汉仪中宋简"/>
    <w:panose1 w:val="02010600040101010101"/>
    <w:charset w:val="86"/>
    <w:family w:val="auto"/>
    <w:pitch w:val="default"/>
    <w:sig w:usb0="00000000" w:usb1="00000000" w:usb2="00000010" w:usb3="00000000" w:csb0="0004009F" w:csb1="00000000"/>
  </w:font>
  <w:font w:name="楷体_GB2312">
    <w:altName w:val="方正楷体_GBK"/>
    <w:panose1 w:val="00000000000000000000"/>
    <w:charset w:val="86"/>
    <w:family w:val="moder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等线">
    <w:altName w:val="汉仪中宋简"/>
    <w:panose1 w:val="02010600030101010101"/>
    <w:charset w:val="86"/>
    <w:family w:val="auto"/>
    <w:pitch w:val="default"/>
    <w:sig w:usb0="00000000" w:usb1="00000000" w:usb2="00000016" w:usb3="00000000" w:csb0="0004000F" w:csb1="00000000"/>
  </w:font>
  <w:font w:name="方正书宋_GBK">
    <w:panose1 w:val="02000000000000000000"/>
    <w:charset w:val="86"/>
    <w:family w:val="auto"/>
    <w:pitch w:val="default"/>
    <w:sig w:usb0="00000001" w:usb1="08000000" w:usb2="00000000" w:usb3="00000000" w:csb0="00040000" w:csb1="00000000"/>
  </w:font>
  <w:font w:name="汉仪中宋简">
    <w:panose1 w:val="02010600000101010101"/>
    <w:charset w:val="86"/>
    <w:family w:val="auto"/>
    <w:pitch w:val="default"/>
    <w:sig w:usb0="00000001" w:usb1="080E0800" w:usb2="00000002" w:usb3="00000000" w:csb0="00040000" w:csb1="0000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7D147E"/>
    <w:multiLevelType w:val="singleLevel"/>
    <w:tmpl w:val="DF7D147E"/>
    <w:lvl w:ilvl="0" w:tentative="0">
      <w:start w:val="1"/>
      <w:numFmt w:val="chineseCounting"/>
      <w:suff w:val="nothing"/>
      <w:lvlText w:val="（%1）"/>
      <w:lvlJc w:val="left"/>
      <w:rPr>
        <w:rFonts w:hint="eastAsia"/>
      </w:rPr>
    </w:lvl>
  </w:abstractNum>
  <w:abstractNum w:abstractNumId="1">
    <w:nsid w:val="F76FDE14"/>
    <w:multiLevelType w:val="singleLevel"/>
    <w:tmpl w:val="F76FDE14"/>
    <w:lvl w:ilvl="0" w:tentative="0">
      <w:start w:val="1"/>
      <w:numFmt w:val="chineseCounting"/>
      <w:suff w:val="nothing"/>
      <w:lvlText w:val="（%1）"/>
      <w:lvlJc w:val="left"/>
      <w:rPr>
        <w:rFonts w:hint="eastAsia"/>
      </w:rPr>
    </w:lvl>
  </w:abstractNum>
  <w:abstractNum w:abstractNumId="2">
    <w:nsid w:val="15C00B53"/>
    <w:multiLevelType w:val="multilevel"/>
    <w:tmpl w:val="15C00B53"/>
    <w:lvl w:ilvl="0" w:tentative="0">
      <w:start w:val="1"/>
      <w:numFmt w:val="japaneseCounting"/>
      <w:lvlText w:val="%1、"/>
      <w:lvlJc w:val="left"/>
      <w:pPr>
        <w:ind w:left="1280" w:hanging="720"/>
      </w:pPr>
      <w:rPr>
        <w:rFonts w:hint="default"/>
      </w:rPr>
    </w:lvl>
    <w:lvl w:ilvl="1" w:tentative="0">
      <w:start w:val="1"/>
      <w:numFmt w:val="lowerLetter"/>
      <w:lvlText w:val="%2."/>
      <w:lvlJc w:val="left"/>
      <w:pPr>
        <w:ind w:left="1640" w:hanging="360"/>
      </w:pPr>
    </w:lvl>
    <w:lvl w:ilvl="2" w:tentative="0">
      <w:start w:val="1"/>
      <w:numFmt w:val="lowerRoman"/>
      <w:lvlText w:val="%3."/>
      <w:lvlJc w:val="right"/>
      <w:pPr>
        <w:ind w:left="2360" w:hanging="180"/>
      </w:pPr>
    </w:lvl>
    <w:lvl w:ilvl="3" w:tentative="0">
      <w:start w:val="1"/>
      <w:numFmt w:val="decimal"/>
      <w:lvlText w:val="%4."/>
      <w:lvlJc w:val="left"/>
      <w:pPr>
        <w:ind w:left="3080" w:hanging="360"/>
      </w:pPr>
    </w:lvl>
    <w:lvl w:ilvl="4" w:tentative="0">
      <w:start w:val="1"/>
      <w:numFmt w:val="lowerLetter"/>
      <w:lvlText w:val="%5."/>
      <w:lvlJc w:val="left"/>
      <w:pPr>
        <w:ind w:left="3800" w:hanging="360"/>
      </w:pPr>
    </w:lvl>
    <w:lvl w:ilvl="5" w:tentative="0">
      <w:start w:val="1"/>
      <w:numFmt w:val="lowerRoman"/>
      <w:lvlText w:val="%6."/>
      <w:lvlJc w:val="right"/>
      <w:pPr>
        <w:ind w:left="4520" w:hanging="180"/>
      </w:pPr>
    </w:lvl>
    <w:lvl w:ilvl="6" w:tentative="0">
      <w:start w:val="1"/>
      <w:numFmt w:val="decimal"/>
      <w:lvlText w:val="%7."/>
      <w:lvlJc w:val="left"/>
      <w:pPr>
        <w:ind w:left="5240" w:hanging="360"/>
      </w:pPr>
    </w:lvl>
    <w:lvl w:ilvl="7" w:tentative="0">
      <w:start w:val="1"/>
      <w:numFmt w:val="lowerLetter"/>
      <w:lvlText w:val="%8."/>
      <w:lvlJc w:val="left"/>
      <w:pPr>
        <w:ind w:left="5960" w:hanging="360"/>
      </w:pPr>
    </w:lvl>
    <w:lvl w:ilvl="8" w:tentative="0">
      <w:start w:val="1"/>
      <w:numFmt w:val="lowerRoman"/>
      <w:lvlText w:val="%9."/>
      <w:lvlJc w:val="right"/>
      <w:pPr>
        <w:ind w:left="6680" w:hanging="180"/>
      </w:pPr>
    </w:lvl>
  </w:abstractNum>
  <w:abstractNum w:abstractNumId="3">
    <w:nsid w:val="35EC579A"/>
    <w:multiLevelType w:val="multilevel"/>
    <w:tmpl w:val="35EC579A"/>
    <w:lvl w:ilvl="0" w:tentative="0">
      <w:start w:val="1"/>
      <w:numFmt w:val="decimal"/>
      <w:lvlText w:val="%1)"/>
      <w:lvlJc w:val="left"/>
      <w:pPr>
        <w:ind w:left="980" w:hanging="420"/>
      </w:p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4">
    <w:nsid w:val="38CC246A"/>
    <w:multiLevelType w:val="singleLevel"/>
    <w:tmpl w:val="38CC246A"/>
    <w:lvl w:ilvl="0" w:tentative="0">
      <w:start w:val="1"/>
      <w:numFmt w:val="chineseCounting"/>
      <w:suff w:val="nothing"/>
      <w:lvlText w:val="（%1）"/>
      <w:lvlJc w:val="left"/>
      <w:rPr>
        <w:rFonts w:hint="eastAsia"/>
      </w:rPr>
    </w:lvl>
  </w:abstractNum>
  <w:abstractNum w:abstractNumId="5">
    <w:nsid w:val="3C997A23"/>
    <w:multiLevelType w:val="multilevel"/>
    <w:tmpl w:val="3C997A23"/>
    <w:lvl w:ilvl="0" w:tentative="0">
      <w:start w:val="1"/>
      <w:numFmt w:val="decimal"/>
      <w:lvlText w:val="%1)"/>
      <w:lvlJc w:val="left"/>
      <w:pPr>
        <w:ind w:left="980" w:hanging="420"/>
      </w:p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num w:numId="1">
    <w:abstractNumId w:val="2"/>
  </w:num>
  <w:num w:numId="2">
    <w:abstractNumId w:val="0"/>
  </w:num>
  <w:num w:numId="3">
    <w:abstractNumId w:val="4"/>
  </w:num>
  <w:num w:numId="4">
    <w:abstractNumId w:val="3"/>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true"/>
  <w:bordersDoNotSurroundFooter w:val="true"/>
  <w:documentProtection w:enforcement="0"/>
  <w:defaultTabStop w:val="420"/>
  <w:drawingGridVerticalSpacing w:val="156"/>
  <w:noPunctuationKerning w:val="true"/>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7CF997B"/>
    <w:rsid w:val="00000D75"/>
    <w:rsid w:val="000205C8"/>
    <w:rsid w:val="00030C95"/>
    <w:rsid w:val="00033E4B"/>
    <w:rsid w:val="00051AB0"/>
    <w:rsid w:val="0005282D"/>
    <w:rsid w:val="0006579B"/>
    <w:rsid w:val="00066C83"/>
    <w:rsid w:val="000679A1"/>
    <w:rsid w:val="000725CF"/>
    <w:rsid w:val="00074455"/>
    <w:rsid w:val="0008183C"/>
    <w:rsid w:val="000A09F0"/>
    <w:rsid w:val="000A31E2"/>
    <w:rsid w:val="00101D1D"/>
    <w:rsid w:val="00104FCB"/>
    <w:rsid w:val="0011782D"/>
    <w:rsid w:val="0014433B"/>
    <w:rsid w:val="0014457C"/>
    <w:rsid w:val="00152A50"/>
    <w:rsid w:val="0015372D"/>
    <w:rsid w:val="001543D1"/>
    <w:rsid w:val="00157181"/>
    <w:rsid w:val="00165E1E"/>
    <w:rsid w:val="0016683D"/>
    <w:rsid w:val="00174768"/>
    <w:rsid w:val="00193C65"/>
    <w:rsid w:val="001A0FFB"/>
    <w:rsid w:val="001A3F95"/>
    <w:rsid w:val="001A4157"/>
    <w:rsid w:val="001B11BD"/>
    <w:rsid w:val="001C64AA"/>
    <w:rsid w:val="001D511F"/>
    <w:rsid w:val="001D6609"/>
    <w:rsid w:val="001E0327"/>
    <w:rsid w:val="001E3D32"/>
    <w:rsid w:val="001F43B5"/>
    <w:rsid w:val="001F55A7"/>
    <w:rsid w:val="002102ED"/>
    <w:rsid w:val="002145A1"/>
    <w:rsid w:val="00215F46"/>
    <w:rsid w:val="0021709C"/>
    <w:rsid w:val="0022150C"/>
    <w:rsid w:val="00247853"/>
    <w:rsid w:val="00254803"/>
    <w:rsid w:val="0026371F"/>
    <w:rsid w:val="0027698C"/>
    <w:rsid w:val="00277B78"/>
    <w:rsid w:val="0028373C"/>
    <w:rsid w:val="00283D51"/>
    <w:rsid w:val="00294C51"/>
    <w:rsid w:val="00296527"/>
    <w:rsid w:val="0029695E"/>
    <w:rsid w:val="002B2737"/>
    <w:rsid w:val="002C2997"/>
    <w:rsid w:val="002C423C"/>
    <w:rsid w:val="002D3B2F"/>
    <w:rsid w:val="002E34B3"/>
    <w:rsid w:val="00303DDB"/>
    <w:rsid w:val="00323402"/>
    <w:rsid w:val="003328BB"/>
    <w:rsid w:val="00340E23"/>
    <w:rsid w:val="00344739"/>
    <w:rsid w:val="0034680F"/>
    <w:rsid w:val="00354814"/>
    <w:rsid w:val="003615FC"/>
    <w:rsid w:val="00365AEC"/>
    <w:rsid w:val="00377B30"/>
    <w:rsid w:val="00393853"/>
    <w:rsid w:val="00395B6F"/>
    <w:rsid w:val="00396929"/>
    <w:rsid w:val="003A1C19"/>
    <w:rsid w:val="003A3B64"/>
    <w:rsid w:val="003B09DD"/>
    <w:rsid w:val="003B18B8"/>
    <w:rsid w:val="003C4E08"/>
    <w:rsid w:val="003E558E"/>
    <w:rsid w:val="003F2833"/>
    <w:rsid w:val="00406BCF"/>
    <w:rsid w:val="004115DD"/>
    <w:rsid w:val="00442ECD"/>
    <w:rsid w:val="00456ACA"/>
    <w:rsid w:val="00456ED5"/>
    <w:rsid w:val="004662CA"/>
    <w:rsid w:val="00467A1D"/>
    <w:rsid w:val="00475945"/>
    <w:rsid w:val="004A2252"/>
    <w:rsid w:val="004A2DDF"/>
    <w:rsid w:val="004A741F"/>
    <w:rsid w:val="004B14BA"/>
    <w:rsid w:val="004B475F"/>
    <w:rsid w:val="004B5B42"/>
    <w:rsid w:val="004D679A"/>
    <w:rsid w:val="004E4704"/>
    <w:rsid w:val="004E7632"/>
    <w:rsid w:val="004F1BD6"/>
    <w:rsid w:val="004F3FCB"/>
    <w:rsid w:val="004F5350"/>
    <w:rsid w:val="00500B7C"/>
    <w:rsid w:val="00507290"/>
    <w:rsid w:val="00514559"/>
    <w:rsid w:val="00540BEF"/>
    <w:rsid w:val="00544CC3"/>
    <w:rsid w:val="005553ED"/>
    <w:rsid w:val="005628BC"/>
    <w:rsid w:val="00573060"/>
    <w:rsid w:val="00593F10"/>
    <w:rsid w:val="005950DB"/>
    <w:rsid w:val="005975CC"/>
    <w:rsid w:val="005A1B4C"/>
    <w:rsid w:val="005A77A4"/>
    <w:rsid w:val="005D380E"/>
    <w:rsid w:val="005D6992"/>
    <w:rsid w:val="005E2272"/>
    <w:rsid w:val="005E2742"/>
    <w:rsid w:val="006333F1"/>
    <w:rsid w:val="0063627E"/>
    <w:rsid w:val="006449A7"/>
    <w:rsid w:val="00662E7D"/>
    <w:rsid w:val="00687C89"/>
    <w:rsid w:val="00693275"/>
    <w:rsid w:val="006A282A"/>
    <w:rsid w:val="006A54B1"/>
    <w:rsid w:val="006B051A"/>
    <w:rsid w:val="006F04A4"/>
    <w:rsid w:val="006F06C4"/>
    <w:rsid w:val="006F0784"/>
    <w:rsid w:val="007105F8"/>
    <w:rsid w:val="00716D1D"/>
    <w:rsid w:val="00723E59"/>
    <w:rsid w:val="007305B4"/>
    <w:rsid w:val="0074070A"/>
    <w:rsid w:val="00740860"/>
    <w:rsid w:val="00766CFD"/>
    <w:rsid w:val="0077429E"/>
    <w:rsid w:val="007746E7"/>
    <w:rsid w:val="00791219"/>
    <w:rsid w:val="007B2D80"/>
    <w:rsid w:val="007C7382"/>
    <w:rsid w:val="007D3347"/>
    <w:rsid w:val="007E6090"/>
    <w:rsid w:val="00811426"/>
    <w:rsid w:val="00811A48"/>
    <w:rsid w:val="00812382"/>
    <w:rsid w:val="00813655"/>
    <w:rsid w:val="00833782"/>
    <w:rsid w:val="00840D95"/>
    <w:rsid w:val="0086064E"/>
    <w:rsid w:val="008834A3"/>
    <w:rsid w:val="0088457D"/>
    <w:rsid w:val="008868A3"/>
    <w:rsid w:val="0089660D"/>
    <w:rsid w:val="008D1868"/>
    <w:rsid w:val="008D77CD"/>
    <w:rsid w:val="008D7BD5"/>
    <w:rsid w:val="0090563D"/>
    <w:rsid w:val="00916CEE"/>
    <w:rsid w:val="00923203"/>
    <w:rsid w:val="00927A73"/>
    <w:rsid w:val="0094773B"/>
    <w:rsid w:val="0095093A"/>
    <w:rsid w:val="009579F3"/>
    <w:rsid w:val="00972E76"/>
    <w:rsid w:val="0097656D"/>
    <w:rsid w:val="009776AE"/>
    <w:rsid w:val="0099073E"/>
    <w:rsid w:val="00991501"/>
    <w:rsid w:val="009B1F44"/>
    <w:rsid w:val="009B2D41"/>
    <w:rsid w:val="009B5659"/>
    <w:rsid w:val="009D2B62"/>
    <w:rsid w:val="009E1836"/>
    <w:rsid w:val="009E5489"/>
    <w:rsid w:val="009E66EA"/>
    <w:rsid w:val="00A043C8"/>
    <w:rsid w:val="00A40181"/>
    <w:rsid w:val="00A91321"/>
    <w:rsid w:val="00A92BCA"/>
    <w:rsid w:val="00AA1F4C"/>
    <w:rsid w:val="00AB068E"/>
    <w:rsid w:val="00AB557A"/>
    <w:rsid w:val="00AC13E6"/>
    <w:rsid w:val="00AC3E14"/>
    <w:rsid w:val="00B00593"/>
    <w:rsid w:val="00B16013"/>
    <w:rsid w:val="00B20092"/>
    <w:rsid w:val="00B27F3A"/>
    <w:rsid w:val="00B3636C"/>
    <w:rsid w:val="00B43EDA"/>
    <w:rsid w:val="00B64A41"/>
    <w:rsid w:val="00B71F91"/>
    <w:rsid w:val="00B7289D"/>
    <w:rsid w:val="00B75937"/>
    <w:rsid w:val="00B80E27"/>
    <w:rsid w:val="00B8338F"/>
    <w:rsid w:val="00B83F72"/>
    <w:rsid w:val="00B855C4"/>
    <w:rsid w:val="00BB4648"/>
    <w:rsid w:val="00BC6241"/>
    <w:rsid w:val="00BC6F9B"/>
    <w:rsid w:val="00BD7BAE"/>
    <w:rsid w:val="00BE0A57"/>
    <w:rsid w:val="00BE0C0D"/>
    <w:rsid w:val="00BE4909"/>
    <w:rsid w:val="00BF18D6"/>
    <w:rsid w:val="00C0681B"/>
    <w:rsid w:val="00C25EEF"/>
    <w:rsid w:val="00C33FE8"/>
    <w:rsid w:val="00C36F6B"/>
    <w:rsid w:val="00C63404"/>
    <w:rsid w:val="00C81DF4"/>
    <w:rsid w:val="00C83199"/>
    <w:rsid w:val="00C85687"/>
    <w:rsid w:val="00C91F1A"/>
    <w:rsid w:val="00C935A1"/>
    <w:rsid w:val="00CA1E89"/>
    <w:rsid w:val="00CA71C8"/>
    <w:rsid w:val="00CB4CF1"/>
    <w:rsid w:val="00CE5A86"/>
    <w:rsid w:val="00CE7191"/>
    <w:rsid w:val="00CF4DC3"/>
    <w:rsid w:val="00CF74B3"/>
    <w:rsid w:val="00D05F1B"/>
    <w:rsid w:val="00D1330F"/>
    <w:rsid w:val="00D139C1"/>
    <w:rsid w:val="00D174D9"/>
    <w:rsid w:val="00D23B0F"/>
    <w:rsid w:val="00D27072"/>
    <w:rsid w:val="00D35367"/>
    <w:rsid w:val="00D41115"/>
    <w:rsid w:val="00D45056"/>
    <w:rsid w:val="00D551CE"/>
    <w:rsid w:val="00D63153"/>
    <w:rsid w:val="00D725D7"/>
    <w:rsid w:val="00D769B0"/>
    <w:rsid w:val="00D83A86"/>
    <w:rsid w:val="00D910D3"/>
    <w:rsid w:val="00D91DF8"/>
    <w:rsid w:val="00DA61FB"/>
    <w:rsid w:val="00DB05B7"/>
    <w:rsid w:val="00DB216A"/>
    <w:rsid w:val="00DB4EBF"/>
    <w:rsid w:val="00DD5A4D"/>
    <w:rsid w:val="00E06781"/>
    <w:rsid w:val="00E154C3"/>
    <w:rsid w:val="00E21AA4"/>
    <w:rsid w:val="00E4335C"/>
    <w:rsid w:val="00E43635"/>
    <w:rsid w:val="00E473A6"/>
    <w:rsid w:val="00E522AB"/>
    <w:rsid w:val="00E522BA"/>
    <w:rsid w:val="00E5785E"/>
    <w:rsid w:val="00E76E2C"/>
    <w:rsid w:val="00EA3C7F"/>
    <w:rsid w:val="00EC1F95"/>
    <w:rsid w:val="00EC2C35"/>
    <w:rsid w:val="00ED0BDE"/>
    <w:rsid w:val="00ED7E11"/>
    <w:rsid w:val="00ED7FA1"/>
    <w:rsid w:val="00EF038F"/>
    <w:rsid w:val="00F1610C"/>
    <w:rsid w:val="00F21DD9"/>
    <w:rsid w:val="00F2603F"/>
    <w:rsid w:val="00F31AD0"/>
    <w:rsid w:val="00F51236"/>
    <w:rsid w:val="00F6228B"/>
    <w:rsid w:val="00FA5CFC"/>
    <w:rsid w:val="00FA6791"/>
    <w:rsid w:val="00FC25BE"/>
    <w:rsid w:val="00FC399D"/>
    <w:rsid w:val="00FE6D5C"/>
    <w:rsid w:val="00FF54EA"/>
    <w:rsid w:val="00FF6085"/>
    <w:rsid w:val="00FF6C9B"/>
    <w:rsid w:val="33CFFA33"/>
    <w:rsid w:val="3CD769B8"/>
    <w:rsid w:val="3CDF8E6D"/>
    <w:rsid w:val="47F6FC4E"/>
    <w:rsid w:val="49BF05A8"/>
    <w:rsid w:val="77FF1386"/>
    <w:rsid w:val="7B75C106"/>
    <w:rsid w:val="7D6EA4EF"/>
    <w:rsid w:val="C7ABBBA8"/>
    <w:rsid w:val="D7CF997B"/>
    <w:rsid w:val="DCF17ECD"/>
    <w:rsid w:val="DFDF2061"/>
    <w:rsid w:val="E79EE22F"/>
    <w:rsid w:val="F7754950"/>
    <w:rsid w:val="FDEF88B1"/>
    <w:rsid w:val="FFDF0C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0"/>
    <w:unhideWhenUsed/>
    <w:qFormat/>
    <w:uiPriority w:val="0"/>
  </w:style>
  <w:style w:type="paragraph" w:styleId="3">
    <w:name w:val="Body Text"/>
    <w:basedOn w:val="1"/>
    <w:next w:val="4"/>
    <w:qFormat/>
    <w:uiPriority w:val="0"/>
  </w:style>
  <w:style w:type="paragraph" w:styleId="4">
    <w:name w:val="Title"/>
    <w:basedOn w:val="1"/>
    <w:next w:val="1"/>
    <w:qFormat/>
    <w:uiPriority w:val="10"/>
    <w:pPr>
      <w:keepLines/>
      <w:adjustRightInd w:val="0"/>
      <w:snapToGrid w:val="0"/>
      <w:spacing w:line="596" w:lineRule="exact"/>
      <w:jc w:val="center"/>
      <w:outlineLvl w:val="0"/>
    </w:pPr>
    <w:rPr>
      <w:rFonts w:ascii="Times New Roman" w:hAnsi="Times New Roman" w:eastAsia="华文中宋"/>
      <w:b/>
      <w:bCs/>
      <w:sz w:val="42"/>
      <w:szCs w:val="32"/>
    </w:rPr>
  </w:style>
  <w:style w:type="paragraph" w:styleId="5">
    <w:name w:val="footer"/>
    <w:basedOn w:val="1"/>
    <w:link w:val="19"/>
    <w:qFormat/>
    <w:uiPriority w:val="0"/>
    <w:pPr>
      <w:tabs>
        <w:tab w:val="center" w:pos="4153"/>
        <w:tab w:val="right" w:pos="8306"/>
      </w:tabs>
      <w:snapToGrid w:val="0"/>
      <w:spacing w:line="240" w:lineRule="auto"/>
    </w:pPr>
    <w:rPr>
      <w:sz w:val="18"/>
      <w:szCs w:val="18"/>
    </w:rPr>
  </w:style>
  <w:style w:type="paragraph" w:styleId="6">
    <w:name w:val="header"/>
    <w:basedOn w:val="1"/>
    <w:link w:val="18"/>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7">
    <w:name w:val="annotation subject"/>
    <w:basedOn w:val="2"/>
    <w:next w:val="2"/>
    <w:link w:val="21"/>
    <w:qFormat/>
    <w:uiPriority w:val="0"/>
    <w:rPr>
      <w:b/>
      <w:bCs/>
    </w:rPr>
  </w:style>
  <w:style w:type="table" w:styleId="9">
    <w:name w:val="Table Grid"/>
    <w:basedOn w:val="8"/>
    <w:qFormat/>
    <w:uiPriority w:val="59"/>
    <w:rPr>
      <w:rFonts w:asciiTheme="minorHAnsi" w:hAnsiTheme="minorHAnsi" w:eastAsiaTheme="minorEastAsia" w:cstheme="minorBid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annotation reference"/>
    <w:basedOn w:val="10"/>
    <w:qFormat/>
    <w:uiPriority w:val="0"/>
    <w:rPr>
      <w:sz w:val="21"/>
      <w:szCs w:val="21"/>
    </w:rPr>
  </w:style>
  <w:style w:type="paragraph" w:customStyle="1" w:styleId="12">
    <w:name w:val="一级标题"/>
    <w:basedOn w:val="13"/>
    <w:qFormat/>
    <w:uiPriority w:val="0"/>
    <w:pPr>
      <w:wordWrap w:val="0"/>
      <w:spacing w:after="0" w:line="360" w:lineRule="auto"/>
      <w:ind w:firstLine="560"/>
      <w:outlineLvl w:val="1"/>
    </w:pPr>
    <w:rPr>
      <w:rFonts w:ascii="Times New Roman" w:hAnsi="Times New Roman" w:eastAsia="黑体" w:cs="Times New Roman"/>
      <w:sz w:val="28"/>
      <w:szCs w:val="28"/>
    </w:rPr>
  </w:style>
  <w:style w:type="paragraph" w:styleId="13">
    <w:name w:val="List Paragraph"/>
    <w:basedOn w:val="1"/>
    <w:qFormat/>
    <w:uiPriority w:val="34"/>
    <w:pPr>
      <w:ind w:firstLine="420" w:firstLineChars="200"/>
    </w:pPr>
  </w:style>
  <w:style w:type="paragraph" w:customStyle="1" w:styleId="14">
    <w:name w:val="二级标题"/>
    <w:basedOn w:val="1"/>
    <w:qFormat/>
    <w:uiPriority w:val="0"/>
    <w:pPr>
      <w:wordWrap w:val="0"/>
      <w:spacing w:after="0" w:line="360" w:lineRule="auto"/>
      <w:ind w:firstLine="562" w:firstLineChars="200"/>
      <w:outlineLvl w:val="2"/>
    </w:pPr>
    <w:rPr>
      <w:rFonts w:eastAsia="楷体_GB2312"/>
      <w:b/>
      <w:sz w:val="28"/>
      <w:szCs w:val="28"/>
    </w:rPr>
  </w:style>
  <w:style w:type="paragraph" w:customStyle="1" w:styleId="15">
    <w:name w:val="正文文档"/>
    <w:basedOn w:val="16"/>
    <w:qFormat/>
    <w:uiPriority w:val="0"/>
    <w:pPr>
      <w:wordWrap w:val="0"/>
      <w:spacing w:afterLines="0"/>
      <w:ind w:firstLine="560"/>
    </w:pPr>
  </w:style>
  <w:style w:type="paragraph" w:customStyle="1" w:styleId="16">
    <w:name w:val="ab"/>
    <w:basedOn w:val="17"/>
    <w:qFormat/>
    <w:uiPriority w:val="0"/>
    <w:pPr>
      <w:spacing w:line="360" w:lineRule="auto"/>
      <w:outlineLvl w:val="9"/>
    </w:pPr>
    <w:rPr>
      <w:rFonts w:ascii="Times New Roman" w:hAnsi="Times New Roman"/>
      <w:sz w:val="28"/>
    </w:rPr>
  </w:style>
  <w:style w:type="paragraph" w:customStyle="1" w:styleId="17">
    <w:name w:val="正文内容"/>
    <w:basedOn w:val="1"/>
    <w:qFormat/>
    <w:uiPriority w:val="0"/>
    <w:pPr>
      <w:spacing w:afterLines="100"/>
      <w:ind w:firstLine="640" w:firstLineChars="200"/>
      <w:outlineLvl w:val="1"/>
    </w:pPr>
    <w:rPr>
      <w:rFonts w:ascii="仿宋_GB2312" w:hAnsi="黑体" w:eastAsia="仿宋_GB2312" w:cs="Arial"/>
      <w:sz w:val="32"/>
      <w:szCs w:val="32"/>
    </w:rPr>
  </w:style>
  <w:style w:type="character" w:customStyle="1" w:styleId="18">
    <w:name w:val="页眉 字符"/>
    <w:basedOn w:val="10"/>
    <w:link w:val="6"/>
    <w:qFormat/>
    <w:uiPriority w:val="0"/>
    <w:rPr>
      <w:rFonts w:asciiTheme="minorHAnsi" w:hAnsiTheme="minorHAnsi" w:eastAsiaTheme="minorEastAsia" w:cstheme="minorBidi"/>
      <w:sz w:val="18"/>
      <w:szCs w:val="18"/>
    </w:rPr>
  </w:style>
  <w:style w:type="character" w:customStyle="1" w:styleId="19">
    <w:name w:val="页脚 字符"/>
    <w:basedOn w:val="10"/>
    <w:link w:val="5"/>
    <w:qFormat/>
    <w:uiPriority w:val="0"/>
    <w:rPr>
      <w:rFonts w:asciiTheme="minorHAnsi" w:hAnsiTheme="minorHAnsi" w:eastAsiaTheme="minorEastAsia" w:cstheme="minorBidi"/>
      <w:sz w:val="18"/>
      <w:szCs w:val="18"/>
    </w:rPr>
  </w:style>
  <w:style w:type="character" w:customStyle="1" w:styleId="20">
    <w:name w:val="批注文字 字符"/>
    <w:basedOn w:val="10"/>
    <w:link w:val="2"/>
    <w:qFormat/>
    <w:uiPriority w:val="0"/>
    <w:rPr>
      <w:rFonts w:asciiTheme="minorHAnsi" w:hAnsiTheme="minorHAnsi" w:eastAsiaTheme="minorEastAsia" w:cstheme="minorBidi"/>
      <w:sz w:val="22"/>
      <w:szCs w:val="22"/>
    </w:rPr>
  </w:style>
  <w:style w:type="character" w:customStyle="1" w:styleId="21">
    <w:name w:val="批注主题 字符"/>
    <w:basedOn w:val="20"/>
    <w:link w:val="7"/>
    <w:qFormat/>
    <w:uiPriority w:val="0"/>
    <w:rPr>
      <w:rFonts w:asciiTheme="minorHAnsi" w:hAnsiTheme="minorHAnsi" w:eastAsiaTheme="minorEastAsia" w:cstheme="minorBidi"/>
      <w:b/>
      <w:bCs/>
      <w:sz w:val="22"/>
      <w:szCs w:val="22"/>
    </w:rPr>
  </w:style>
  <w:style w:type="paragraph" w:customStyle="1" w:styleId="22">
    <w:name w:val="三级标题"/>
    <w:basedOn w:val="16"/>
    <w:qFormat/>
    <w:uiPriority w:val="0"/>
    <w:pPr>
      <w:wordWrap w:val="0"/>
      <w:spacing w:after="0" w:afterLines="0"/>
      <w:ind w:firstLine="200"/>
      <w:outlineLvl w:val="3"/>
    </w:pPr>
    <w:rPr>
      <w:b/>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1995</Words>
  <Characters>11372</Characters>
  <Lines>94</Lines>
  <Paragraphs>26</Paragraphs>
  <TotalTime>7</TotalTime>
  <ScaleCrop>false</ScaleCrop>
  <LinksUpToDate>false</LinksUpToDate>
  <CharactersWithSpaces>13341</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2023-02-17T23:05:00Z</dcterms:created>
  <dc:creator>Admin</dc:creator>
  <cp:lastModifiedBy>Admin</cp:lastModifiedBy>
  <dcterms:modified xsi:type="dcterms:W3CDTF">2023-05-19T15:48:37Z</dcterms:modified>
  <cp:revision>162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ies>
</file>